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DB199">
      <w:pPr>
        <w:autoSpaceDE w:val="0"/>
        <w:autoSpaceDN w:val="0"/>
        <w:adjustRightInd w:val="0"/>
        <w:spacing w:line="360" w:lineRule="auto"/>
        <w:jc w:val="left"/>
        <w:outlineLvl w:val="9"/>
        <w:rPr>
          <w:rFonts w:hint="eastAsia" w:ascii="黑体" w:hAnsi="黑体" w:eastAsia="黑体"/>
          <w:sz w:val="32"/>
          <w:szCs w:val="32"/>
          <w:lang w:val="en-US" w:eastAsia="zh-CN"/>
        </w:rPr>
      </w:pPr>
      <w:bookmarkStart w:id="245" w:name="_GoBack"/>
      <w:bookmarkEnd w:id="245"/>
      <w:bookmarkStart w:id="0" w:name="_Toc4591"/>
    </w:p>
    <w:p w14:paraId="3692F241">
      <w:pPr>
        <w:autoSpaceDE w:val="0"/>
        <w:autoSpaceDN w:val="0"/>
        <w:adjustRightInd w:val="0"/>
        <w:spacing w:line="360" w:lineRule="auto"/>
        <w:rPr>
          <w:rFonts w:ascii="Times New Roman" w:hAnsi="Times New Roman" w:eastAsia="黑体"/>
          <w:sz w:val="44"/>
          <w:szCs w:val="44"/>
          <w:lang w:val="zh-CN"/>
        </w:rPr>
      </w:pPr>
    </w:p>
    <w:p w14:paraId="2383D0EA">
      <w:pPr>
        <w:autoSpaceDE w:val="0"/>
        <w:autoSpaceDN w:val="0"/>
        <w:adjustRightInd w:val="0"/>
        <w:spacing w:line="720" w:lineRule="auto"/>
        <w:jc w:val="center"/>
        <w:rPr>
          <w:rFonts w:hint="default"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中国招标投标协会团体标准</w:t>
      </w:r>
    </w:p>
    <w:p w14:paraId="61D4AB47">
      <w:pPr>
        <w:autoSpaceDE w:val="0"/>
        <w:autoSpaceDN w:val="0"/>
        <w:adjustRightInd w:val="0"/>
        <w:spacing w:line="360" w:lineRule="auto"/>
        <w:jc w:val="center"/>
        <w:outlineLvl w:val="9"/>
        <w:rPr>
          <w:rFonts w:hint="eastAsia" w:ascii="黑体" w:hAnsi="黑体" w:eastAsia="黑体" w:cs="黑体"/>
          <w:b/>
          <w:bCs/>
          <w:w w:val="95"/>
          <w:sz w:val="52"/>
          <w:szCs w:val="52"/>
          <w:lang w:val="en-US" w:eastAsia="zh-CN"/>
        </w:rPr>
      </w:pPr>
      <w:r>
        <w:rPr>
          <w:rFonts w:hint="eastAsia" w:ascii="黑体" w:hAnsi="黑体" w:eastAsia="黑体" w:cs="黑体"/>
          <w:b/>
          <w:bCs/>
          <w:w w:val="95"/>
          <w:sz w:val="52"/>
          <w:szCs w:val="52"/>
          <w:lang w:val="zh-CN"/>
        </w:rPr>
        <w:t>电线电缆采购技术</w:t>
      </w:r>
      <w:r>
        <w:rPr>
          <w:rFonts w:hint="eastAsia" w:ascii="黑体" w:hAnsi="黑体" w:eastAsia="黑体" w:cs="黑体"/>
          <w:b/>
          <w:bCs/>
          <w:w w:val="95"/>
          <w:sz w:val="52"/>
          <w:szCs w:val="52"/>
          <w:lang w:val="en-US" w:eastAsia="zh-CN"/>
        </w:rPr>
        <w:t>规范</w:t>
      </w:r>
    </w:p>
    <w:p w14:paraId="75723511">
      <w:pPr>
        <w:autoSpaceDE w:val="0"/>
        <w:autoSpaceDN w:val="0"/>
        <w:adjustRightInd w:val="0"/>
        <w:spacing w:line="720" w:lineRule="auto"/>
        <w:jc w:val="center"/>
        <w:outlineLvl w:val="9"/>
        <w:rPr>
          <w:rFonts w:hint="eastAsia" w:ascii="黑体" w:hAnsi="黑体" w:eastAsia="黑体" w:cs="黑体"/>
          <w:w w:val="95"/>
          <w:sz w:val="44"/>
          <w:szCs w:val="44"/>
          <w:lang w:val="zh-CN"/>
        </w:rPr>
      </w:pPr>
      <w:r>
        <w:rPr>
          <w:rFonts w:hint="eastAsia" w:ascii="黑体" w:hAnsi="黑体" w:eastAsia="黑体" w:cs="黑体"/>
          <w:b w:val="0"/>
          <w:bCs w:val="0"/>
          <w:w w:val="100"/>
          <w:sz w:val="44"/>
          <w:szCs w:val="44"/>
          <w:lang w:val="en-US"/>
        </w:rPr>
        <w:t>第</w:t>
      </w:r>
      <w:r>
        <w:rPr>
          <w:rFonts w:hint="eastAsia" w:ascii="黑体" w:hAnsi="黑体" w:eastAsia="黑体" w:cs="黑体"/>
          <w:b w:val="0"/>
          <w:bCs w:val="0"/>
          <w:w w:val="100"/>
          <w:sz w:val="44"/>
          <w:szCs w:val="44"/>
          <w:lang w:val="en-US" w:eastAsia="zh-CN"/>
        </w:rPr>
        <w:t>15</w:t>
      </w:r>
      <w:r>
        <w:rPr>
          <w:rFonts w:hint="eastAsia" w:ascii="黑体" w:hAnsi="黑体" w:eastAsia="黑体" w:cs="黑体"/>
          <w:b w:val="0"/>
          <w:bCs w:val="0"/>
          <w:w w:val="100"/>
          <w:sz w:val="44"/>
          <w:szCs w:val="44"/>
          <w:lang w:val="en-US"/>
        </w:rPr>
        <w:t>部分：</w:t>
      </w:r>
      <w:r>
        <w:rPr>
          <w:rFonts w:hint="eastAsia" w:ascii="黑体" w:hAnsi="黑体" w:eastAsia="黑体" w:cs="黑体"/>
          <w:b w:val="0"/>
          <w:bCs w:val="0"/>
          <w:w w:val="100"/>
          <w:sz w:val="44"/>
          <w:szCs w:val="44"/>
          <w:lang w:val="en-US" w:eastAsia="zh-CN"/>
        </w:rPr>
        <w:t>海底电力电缆（6kV</w:t>
      </w:r>
      <w:r>
        <w:rPr>
          <w:rFonts w:hint="default" w:ascii="Times New Roman Regular" w:hAnsi="Times New Roman Regular" w:eastAsia="黑体" w:cs="Times New Roman Regular"/>
          <w:b w:val="0"/>
          <w:bCs w:val="0"/>
          <w:w w:val="100"/>
          <w:sz w:val="44"/>
          <w:szCs w:val="44"/>
          <w:lang w:val="en-US" w:eastAsia="zh-CN"/>
        </w:rPr>
        <w:t>~</w:t>
      </w:r>
      <w:r>
        <w:rPr>
          <w:rFonts w:hint="eastAsia" w:ascii="黑体" w:hAnsi="黑体" w:eastAsia="黑体" w:cs="黑体"/>
          <w:b w:val="0"/>
          <w:bCs w:val="0"/>
          <w:w w:val="100"/>
          <w:sz w:val="44"/>
          <w:szCs w:val="44"/>
          <w:lang w:val="en-US" w:eastAsia="zh-CN"/>
        </w:rPr>
        <w:t>35kV）</w:t>
      </w:r>
    </w:p>
    <w:p w14:paraId="4D30B250">
      <w:pPr>
        <w:autoSpaceDE w:val="0"/>
        <w:autoSpaceDN w:val="0"/>
        <w:adjustRightInd w:val="0"/>
        <w:spacing w:line="720" w:lineRule="auto"/>
        <w:jc w:val="center"/>
        <w:rPr>
          <w:rFonts w:hint="eastAsia" w:ascii="黑体" w:hAnsi="黑体" w:eastAsia="黑体" w:cs="黑体"/>
          <w:sz w:val="44"/>
          <w:szCs w:val="44"/>
          <w:lang w:val="en-US" w:eastAsia="zh-CN"/>
        </w:rPr>
      </w:pPr>
    </w:p>
    <w:p w14:paraId="03371BD9">
      <w:pPr>
        <w:autoSpaceDE w:val="0"/>
        <w:autoSpaceDN w:val="0"/>
        <w:adjustRightInd w:val="0"/>
        <w:spacing w:line="360" w:lineRule="auto"/>
        <w:jc w:val="center"/>
        <w:rPr>
          <w:rFonts w:hint="default" w:ascii="Times New Roman" w:hAnsi="Times New Roman" w:eastAsia="黑体"/>
          <w:sz w:val="44"/>
          <w:szCs w:val="44"/>
          <w:lang w:val="en-US" w:eastAsia="zh-CN"/>
        </w:rPr>
      </w:pPr>
    </w:p>
    <w:p w14:paraId="4EB69AD1">
      <w:pPr>
        <w:autoSpaceDE w:val="0"/>
        <w:autoSpaceDN w:val="0"/>
        <w:adjustRightInd w:val="0"/>
        <w:spacing w:line="360" w:lineRule="auto"/>
        <w:jc w:val="center"/>
        <w:rPr>
          <w:rFonts w:hint="default" w:ascii="Times New Roman" w:hAnsi="Times New Roman" w:eastAsia="黑体"/>
          <w:sz w:val="44"/>
          <w:szCs w:val="44"/>
          <w:lang w:val="en-US" w:eastAsia="zh-CN"/>
        </w:rPr>
      </w:pPr>
    </w:p>
    <w:p w14:paraId="0F161A88">
      <w:pPr>
        <w:autoSpaceDE w:val="0"/>
        <w:autoSpaceDN w:val="0"/>
        <w:adjustRightInd w:val="0"/>
        <w:spacing w:line="360" w:lineRule="auto"/>
        <w:jc w:val="center"/>
        <w:outlineLvl w:val="9"/>
        <w:rPr>
          <w:rFonts w:hint="eastAsia" w:ascii="黑体" w:hAnsi="黑体" w:eastAsia="黑体" w:cs="黑体"/>
          <w:b/>
          <w:bCs/>
          <w:sz w:val="52"/>
          <w:szCs w:val="52"/>
          <w:lang w:val="en-US"/>
        </w:rPr>
      </w:pPr>
      <w:r>
        <w:rPr>
          <w:rFonts w:hint="eastAsia" w:ascii="黑体" w:hAnsi="黑体" w:eastAsia="黑体" w:cs="黑体"/>
          <w:b/>
          <w:bCs/>
          <w:spacing w:val="173"/>
          <w:kern w:val="0"/>
          <w:sz w:val="52"/>
          <w:szCs w:val="52"/>
          <w:fitText w:val="3120" w:id="-243984201"/>
          <w:lang w:val="en-US"/>
        </w:rPr>
        <w:t>编制说</w:t>
      </w:r>
      <w:r>
        <w:rPr>
          <w:rFonts w:hint="eastAsia" w:ascii="黑体" w:hAnsi="黑体" w:eastAsia="黑体" w:cs="黑体"/>
          <w:b/>
          <w:bCs/>
          <w:spacing w:val="1"/>
          <w:kern w:val="0"/>
          <w:sz w:val="52"/>
          <w:szCs w:val="52"/>
          <w:fitText w:val="3120" w:id="-243984201"/>
          <w:lang w:val="en-US"/>
        </w:rPr>
        <w:t>明</w:t>
      </w:r>
    </w:p>
    <w:p w14:paraId="6FED8082">
      <w:pPr>
        <w:pStyle w:val="18"/>
        <w:spacing w:before="0" w:beforeAutospacing="0" w:after="0" w:afterAutospacing="0"/>
        <w:jc w:val="both"/>
        <w:textAlignment w:val="baseline"/>
        <w:rPr>
          <w:rFonts w:ascii="Times New Roman" w:hAnsi="Times New Roman" w:eastAsia="黑体" w:cs="Times New Roman"/>
          <w:bCs/>
          <w:kern w:val="24"/>
          <w:sz w:val="40"/>
          <w:szCs w:val="40"/>
        </w:rPr>
      </w:pPr>
    </w:p>
    <w:p w14:paraId="7E653C77">
      <w:pPr>
        <w:pStyle w:val="18"/>
        <w:spacing w:before="0" w:beforeAutospacing="0" w:after="0" w:afterAutospacing="0"/>
        <w:jc w:val="both"/>
        <w:textAlignment w:val="baseline"/>
        <w:rPr>
          <w:rFonts w:ascii="Times New Roman" w:hAnsi="Times New Roman" w:eastAsia="黑体" w:cs="Times New Roman"/>
          <w:b/>
          <w:bCs/>
          <w:kern w:val="24"/>
          <w:sz w:val="40"/>
          <w:szCs w:val="40"/>
        </w:rPr>
      </w:pPr>
    </w:p>
    <w:p w14:paraId="0CCD94C6">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45D12701">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03D21840">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2DF8FC49">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64797050">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21D6A7CC">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42F004D1">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4504DF20">
      <w:pPr>
        <w:autoSpaceDE w:val="0"/>
        <w:autoSpaceDN w:val="0"/>
        <w:adjustRightInd w:val="0"/>
        <w:spacing w:line="360" w:lineRule="auto"/>
        <w:jc w:val="center"/>
        <w:outlineLvl w:val="9"/>
        <w:rPr>
          <w:rFonts w:hint="eastAsia" w:ascii="黑体" w:hAnsi="黑体" w:eastAsia="黑体" w:cs="黑体"/>
          <w:sz w:val="32"/>
          <w:szCs w:val="32"/>
          <w:lang w:val="zh-CN"/>
        </w:rPr>
      </w:pPr>
      <w:bookmarkStart w:id="1" w:name="_Toc25758"/>
      <w:bookmarkStart w:id="2" w:name="_Toc1563290462"/>
      <w:bookmarkStart w:id="3" w:name="_Toc476665731"/>
      <w:bookmarkStart w:id="4" w:name="_Toc28983"/>
      <w:bookmarkStart w:id="5" w:name="_Toc155256224"/>
      <w:bookmarkStart w:id="6" w:name="_Toc23793"/>
      <w:bookmarkStart w:id="7" w:name="_Toc28110"/>
      <w:bookmarkStart w:id="8" w:name="_Toc24681"/>
      <w:bookmarkStart w:id="9" w:name="_Toc26336"/>
      <w:bookmarkStart w:id="10" w:name="_Toc472000152"/>
      <w:bookmarkStart w:id="11" w:name="_Toc467852381"/>
      <w:bookmarkStart w:id="12" w:name="_Toc1665062136"/>
      <w:r>
        <w:rPr>
          <w:rFonts w:hint="eastAsia" w:ascii="黑体" w:hAnsi="黑体" w:eastAsia="黑体" w:cs="黑体"/>
          <w:sz w:val="32"/>
          <w:szCs w:val="32"/>
          <w:lang w:val="zh-CN"/>
        </w:rPr>
        <w:t>标准编制组</w:t>
      </w:r>
      <w:bookmarkEnd w:id="1"/>
      <w:bookmarkEnd w:id="2"/>
      <w:bookmarkEnd w:id="3"/>
      <w:bookmarkEnd w:id="4"/>
      <w:bookmarkEnd w:id="5"/>
      <w:bookmarkEnd w:id="6"/>
      <w:bookmarkEnd w:id="7"/>
      <w:bookmarkEnd w:id="8"/>
      <w:bookmarkEnd w:id="9"/>
      <w:bookmarkEnd w:id="10"/>
      <w:bookmarkEnd w:id="11"/>
      <w:bookmarkEnd w:id="12"/>
    </w:p>
    <w:p w14:paraId="40FC1D9C">
      <w:pPr>
        <w:tabs>
          <w:tab w:val="right" w:leader="dot" w:pos="8296"/>
        </w:tabs>
        <w:jc w:val="center"/>
        <w:rPr>
          <w:rFonts w:hint="eastAsia" w:ascii="黑体" w:hAnsi="黑体" w:eastAsia="黑体" w:cs="黑体"/>
          <w:sz w:val="32"/>
          <w:szCs w:val="32"/>
          <w:lang w:val="zh-CN"/>
        </w:rPr>
        <w:sectPr>
          <w:footerReference r:id="rId3" w:type="default"/>
          <w:pgSz w:w="11906" w:h="16838"/>
          <w:pgMar w:top="1440" w:right="1800" w:bottom="1440" w:left="1800" w:header="851" w:footer="850"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黑体" w:hAnsi="黑体" w:eastAsia="黑体" w:cs="黑体"/>
          <w:sz w:val="32"/>
          <w:szCs w:val="32"/>
          <w:lang w:val="zh-CN"/>
        </w:rPr>
        <w:t>20</w:t>
      </w:r>
      <w:r>
        <w:rPr>
          <w:rFonts w:hint="eastAsia" w:ascii="黑体" w:hAnsi="黑体" w:eastAsia="黑体" w:cs="黑体"/>
          <w:sz w:val="32"/>
          <w:szCs w:val="32"/>
        </w:rPr>
        <w:t>2</w:t>
      </w:r>
      <w:r>
        <w:rPr>
          <w:rFonts w:hint="eastAsia" w:ascii="黑体" w:hAnsi="黑体" w:eastAsia="黑体" w:cs="黑体"/>
          <w:sz w:val="32"/>
          <w:szCs w:val="32"/>
          <w:lang w:val="en-US" w:eastAsia="zh-CN"/>
        </w:rPr>
        <w:t>6</w:t>
      </w:r>
      <w:r>
        <w:rPr>
          <w:rFonts w:hint="eastAsia" w:ascii="黑体" w:hAnsi="黑体" w:eastAsia="黑体" w:cs="黑体"/>
          <w:sz w:val="32"/>
          <w:szCs w:val="32"/>
          <w:lang w:val="zh-CN"/>
        </w:rPr>
        <w:t>年</w:t>
      </w:r>
      <w:r>
        <w:rPr>
          <w:rFonts w:hint="eastAsia" w:ascii="黑体" w:hAnsi="黑体" w:eastAsia="黑体" w:cs="黑体"/>
          <w:sz w:val="32"/>
          <w:szCs w:val="32"/>
          <w:lang w:val="en-US" w:eastAsia="zh-CN"/>
        </w:rPr>
        <w:t>4</w:t>
      </w:r>
      <w:r>
        <w:rPr>
          <w:rFonts w:hint="eastAsia" w:ascii="黑体" w:hAnsi="黑体" w:eastAsia="黑体" w:cs="黑体"/>
          <w:sz w:val="32"/>
          <w:szCs w:val="32"/>
          <w:lang w:val="zh-CN"/>
        </w:rPr>
        <w:t>月</w:t>
      </w:r>
    </w:p>
    <w:sdt>
      <w:sdtPr>
        <w:rPr>
          <w:rFonts w:ascii="宋体" w:hAnsi="宋体" w:eastAsia="宋体" w:cstheme="minorBidi"/>
          <w:b/>
          <w:bCs/>
          <w:kern w:val="2"/>
          <w:sz w:val="28"/>
          <w:szCs w:val="28"/>
          <w:lang w:val="en-US" w:eastAsia="zh-CN" w:bidi="ar-SA"/>
        </w:rPr>
        <w:id w:val="147461887"/>
        <w15:color w:val="DBDBDB"/>
        <w:docPartObj>
          <w:docPartGallery w:val="Table of Contents"/>
          <w:docPartUnique/>
        </w:docPartObj>
      </w:sdtPr>
      <w:sdtEndPr>
        <w:rPr>
          <w:rFonts w:hint="eastAsia" w:ascii="黑体" w:hAnsi="黑体" w:eastAsia="黑体" w:cs="黑体"/>
          <w:b/>
          <w:bCs/>
          <w:kern w:val="2"/>
          <w:sz w:val="21"/>
          <w:szCs w:val="32"/>
          <w:lang w:val="zh-CN" w:eastAsia="zh-CN" w:bidi="ar-SA"/>
        </w:rPr>
      </w:sdtEndPr>
      <w:sdtContent>
        <w:p w14:paraId="3CA0334E">
          <w:pPr>
            <w:spacing w:before="0" w:beforeLines="0" w:after="0" w:afterLines="0" w:line="240" w:lineRule="auto"/>
            <w:ind w:left="0" w:leftChars="0" w:right="0" w:rightChars="0" w:firstLine="0" w:firstLineChars="0"/>
            <w:jc w:val="center"/>
            <w:rPr>
              <w:rFonts w:ascii="宋体" w:hAnsi="宋体" w:eastAsia="宋体"/>
              <w:b/>
              <w:bCs/>
              <w:sz w:val="28"/>
              <w:szCs w:val="28"/>
            </w:rPr>
          </w:pPr>
          <w:r>
            <w:rPr>
              <w:rFonts w:ascii="宋体" w:hAnsi="宋体" w:eastAsia="宋体"/>
              <w:b/>
              <w:bCs/>
              <w:sz w:val="28"/>
              <w:szCs w:val="28"/>
            </w:rPr>
            <w:t>目录</w:t>
          </w:r>
        </w:p>
        <w:p w14:paraId="021294DE">
          <w:pPr>
            <w:spacing w:before="0" w:beforeLines="0" w:after="0" w:afterLines="0" w:line="240" w:lineRule="auto"/>
            <w:ind w:left="0" w:leftChars="0" w:right="0" w:rightChars="0" w:firstLine="0" w:firstLineChars="0"/>
            <w:jc w:val="center"/>
            <w:rPr>
              <w:rFonts w:ascii="宋体" w:hAnsi="宋体" w:eastAsia="宋体"/>
              <w:sz w:val="21"/>
            </w:rPr>
          </w:pPr>
        </w:p>
        <w:p w14:paraId="27CE556C">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rPr>
          </w:pPr>
          <w:r>
            <w:rPr>
              <w:rFonts w:hint="default" w:ascii="Times New Roman Regular" w:hAnsi="Times New Roman Regular" w:eastAsia="宋体" w:cs="Times New Roman Regular"/>
              <w:b w:val="0"/>
              <w:kern w:val="2"/>
              <w:sz w:val="21"/>
              <w:szCs w:val="32"/>
              <w:lang w:val="zh-CN" w:eastAsia="zh-CN" w:bidi="ar-SA"/>
            </w:rPr>
            <w:fldChar w:fldCharType="begin"/>
          </w:r>
          <w:r>
            <w:rPr>
              <w:rFonts w:hint="default" w:ascii="Times New Roman Regular" w:hAnsi="Times New Roman Regular" w:eastAsia="宋体" w:cs="Times New Roman Regular"/>
              <w:b w:val="0"/>
              <w:kern w:val="2"/>
              <w:sz w:val="21"/>
              <w:szCs w:val="32"/>
              <w:lang w:val="zh-CN" w:eastAsia="zh-CN" w:bidi="ar-SA"/>
            </w:rPr>
            <w:instrText xml:space="preserve">TOC \o "1-3" \h \u </w:instrText>
          </w:r>
          <w:r>
            <w:rPr>
              <w:rFonts w:hint="default" w:ascii="Times New Roman Regular" w:hAnsi="Times New Roman Regular" w:eastAsia="宋体" w:cs="Times New Roman Regular"/>
              <w:b w:val="0"/>
              <w:kern w:val="2"/>
              <w:sz w:val="21"/>
              <w:szCs w:val="32"/>
              <w:lang w:val="zh-CN" w:eastAsia="zh-CN" w:bidi="ar-SA"/>
            </w:rPr>
            <w:fldChar w:fldCharType="separate"/>
          </w: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_Toc262095872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28"/>
            </w:rPr>
            <w:t>一、</w:t>
          </w:r>
          <w:r>
            <w:rPr>
              <w:rFonts w:hint="default" w:ascii="Times New Roman Regular" w:hAnsi="Times New Roman Regular" w:eastAsia="宋体" w:cs="Times New Roman Regular"/>
              <w:b/>
              <w:bCs w:val="0"/>
              <w:szCs w:val="28"/>
              <w:lang w:val="en-US" w:eastAsia="zh-CN"/>
            </w:rPr>
            <w:t>工作简况</w:t>
          </w:r>
          <w:r>
            <w:rPr>
              <w:rFonts w:hint="default" w:ascii="Times New Roman Regular" w:hAnsi="Times New Roman Regular" w:eastAsia="宋体" w:cs="Times New Roman Regular"/>
              <w:b/>
              <w:bCs w:val="0"/>
            </w:rPr>
            <w:tab/>
          </w:r>
          <w:r>
            <w:rPr>
              <w:rFonts w:hint="default" w:ascii="Times New Roman Regular" w:hAnsi="Times New Roman Regular" w:eastAsia="宋体" w:cs="Times New Roman Regular"/>
              <w:b/>
              <w:bCs w:val="0"/>
            </w:rPr>
            <w:fldChar w:fldCharType="begin"/>
          </w:r>
          <w:r>
            <w:rPr>
              <w:rFonts w:hint="default" w:ascii="Times New Roman Regular" w:hAnsi="Times New Roman Regular" w:eastAsia="宋体" w:cs="Times New Roman Regular"/>
              <w:b/>
              <w:bCs w:val="0"/>
            </w:rPr>
            <w:instrText xml:space="preserve"> PAGEREF _Toc262095872 \h </w:instrText>
          </w:r>
          <w:r>
            <w:rPr>
              <w:rFonts w:hint="default" w:ascii="Times New Roman Regular" w:hAnsi="Times New Roman Regular" w:eastAsia="宋体" w:cs="Times New Roman Regular"/>
              <w:b/>
              <w:bCs w:val="0"/>
            </w:rPr>
            <w:fldChar w:fldCharType="separate"/>
          </w:r>
          <w:r>
            <w:rPr>
              <w:rFonts w:hint="default" w:ascii="Times New Roman Regular" w:hAnsi="Times New Roman Regular" w:eastAsia="宋体" w:cs="Times New Roman Regular"/>
              <w:b/>
              <w:bCs w:val="0"/>
            </w:rPr>
            <w:t>1</w:t>
          </w:r>
          <w:r>
            <w:rPr>
              <w:rFonts w:hint="default" w:ascii="Times New Roman Regular" w:hAnsi="Times New Roman Regular" w:eastAsia="宋体" w:cs="Times New Roman Regular"/>
              <w:b/>
              <w:bCs w:val="0"/>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3B1E8523">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_Toc556360707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szCs w:val="24"/>
              <w:lang w:val="en-US" w:eastAsia="zh-CN"/>
            </w:rPr>
            <w:t>（一）项目简述</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_Toc556360707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1</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693E9288">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_Toc610603511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szCs w:val="24"/>
              <w:lang w:val="en-US" w:eastAsia="zh-CN"/>
            </w:rPr>
            <w:t>（二）制定背景</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_Toc610603511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1</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6F168FC3">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_Toc1736344011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szCs w:val="24"/>
            </w:rPr>
            <w:t>（三）主要工作过程</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_Toc1736344011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1</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74A8DC3">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_Toc578513794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rPr>
            <w:t>1．</w:t>
          </w:r>
          <w:r>
            <w:rPr>
              <w:rFonts w:hint="default" w:ascii="Times New Roman Regular" w:hAnsi="Times New Roman Regular" w:eastAsia="宋体" w:cs="Times New Roman Regular"/>
              <w:b w:val="0"/>
              <w:bCs/>
              <w:szCs w:val="21"/>
            </w:rPr>
            <w:t>预研阶段</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_Toc578513794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2</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2D4B31E">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_Toc1422865789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rPr>
            <w:t>2．立项阶段</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_Toc1422865789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2</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3665AF8D">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_Toc1874906378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rPr>
            <w:t>3．</w:t>
          </w:r>
          <w:r>
            <w:rPr>
              <w:rFonts w:hint="default" w:ascii="Times New Roman Regular" w:hAnsi="Times New Roman Regular" w:eastAsia="宋体" w:cs="Times New Roman Regular"/>
              <w:b w:val="0"/>
              <w:bCs/>
              <w:kern w:val="2"/>
              <w:szCs w:val="21"/>
              <w:lang w:val="en-US" w:eastAsia="zh-CN"/>
            </w:rPr>
            <w:t>起草阶段</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_Toc1874906378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2</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6723CB75">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_Toc1523942615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二、关于标准名称</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_Toc1523942615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4</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1B4528B2">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_Toc2013556183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三、标准编制原则</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_Toc2013556183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4</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461A2DA2">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_Toc1791458255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（一）</w:t>
          </w:r>
          <w:r>
            <w:rPr>
              <w:rFonts w:hint="default" w:ascii="Times New Roman Regular" w:hAnsi="Times New Roman Regular" w:eastAsia="宋体" w:cs="Times New Roman Regular"/>
              <w:b w:val="0"/>
              <w:bCs w:val="0"/>
              <w:szCs w:val="24"/>
              <w:lang w:val="en-US" w:eastAsia="zh-CN"/>
            </w:rPr>
            <w:t>一致性</w:t>
          </w:r>
          <w:r>
            <w:rPr>
              <w:rFonts w:hint="default" w:ascii="Times New Roman Regular" w:hAnsi="Times New Roman Regular" w:eastAsia="宋体" w:cs="Times New Roman Regular"/>
              <w:b w:val="0"/>
              <w:bCs w:val="0"/>
              <w:szCs w:val="24"/>
            </w:rPr>
            <w:t>原则</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_Toc1791458255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4</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031A00EE">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_Toc1318160845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lang w:eastAsia="zh-CN"/>
            </w:rPr>
            <w:t>（</w:t>
          </w:r>
          <w:r>
            <w:rPr>
              <w:rFonts w:hint="default" w:ascii="Times New Roman Regular" w:hAnsi="Times New Roman Regular" w:eastAsia="宋体" w:cs="Times New Roman Regular"/>
              <w:b w:val="0"/>
              <w:bCs w:val="0"/>
              <w:szCs w:val="24"/>
              <w:lang w:val="en-US" w:eastAsia="zh-CN"/>
            </w:rPr>
            <w:t>二</w:t>
          </w:r>
          <w:r>
            <w:rPr>
              <w:rFonts w:hint="default" w:ascii="Times New Roman Regular" w:hAnsi="Times New Roman Regular" w:eastAsia="宋体" w:cs="Times New Roman Regular"/>
              <w:b w:val="0"/>
              <w:bCs w:val="0"/>
              <w:szCs w:val="24"/>
              <w:lang w:eastAsia="zh-CN"/>
            </w:rPr>
            <w:t>）</w:t>
          </w:r>
          <w:r>
            <w:rPr>
              <w:rFonts w:hint="default" w:ascii="Times New Roman Regular" w:hAnsi="Times New Roman Regular" w:eastAsia="宋体" w:cs="Times New Roman Regular"/>
              <w:b w:val="0"/>
              <w:bCs w:val="0"/>
              <w:szCs w:val="24"/>
              <w:lang w:val="en-US" w:eastAsia="zh-CN"/>
            </w:rPr>
            <w:t>先进性原则</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_Toc1318160845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4</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D5D407D">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_Toc888019463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w:t>
          </w:r>
          <w:r>
            <w:rPr>
              <w:rFonts w:hint="default" w:ascii="Times New Roman Regular" w:hAnsi="Times New Roman Regular" w:eastAsia="宋体" w:cs="Times New Roman Regular"/>
              <w:b w:val="0"/>
              <w:bCs w:val="0"/>
              <w:szCs w:val="24"/>
              <w:lang w:val="en-US" w:eastAsia="zh-CN"/>
            </w:rPr>
            <w:t>三</w:t>
          </w:r>
          <w:r>
            <w:rPr>
              <w:rFonts w:hint="default" w:ascii="Times New Roman Regular" w:hAnsi="Times New Roman Regular" w:eastAsia="宋体" w:cs="Times New Roman Regular"/>
              <w:b w:val="0"/>
              <w:bCs w:val="0"/>
              <w:szCs w:val="24"/>
            </w:rPr>
            <w:t>）协调性原则</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_Toc888019463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4</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578ABB7">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_Toc2079251638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w:t>
          </w:r>
          <w:r>
            <w:rPr>
              <w:rFonts w:hint="default" w:ascii="Times New Roman Regular" w:hAnsi="Times New Roman Regular" w:eastAsia="宋体" w:cs="Times New Roman Regular"/>
              <w:b w:val="0"/>
              <w:bCs w:val="0"/>
              <w:szCs w:val="24"/>
              <w:lang w:val="en-US" w:eastAsia="zh-CN"/>
            </w:rPr>
            <w:t>四</w:t>
          </w:r>
          <w:r>
            <w:rPr>
              <w:rFonts w:hint="default" w:ascii="Times New Roman Regular" w:hAnsi="Times New Roman Regular" w:eastAsia="宋体" w:cs="Times New Roman Regular"/>
              <w:b w:val="0"/>
              <w:bCs w:val="0"/>
              <w:szCs w:val="24"/>
            </w:rPr>
            <w:t>）可操作性原则</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_Toc2079251638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4</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49D7CC02">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_Toc2128375882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四、标准主要内容及编制特点</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_Toc2128375882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5</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3D4CB0B3">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_Toc978340695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（一）</w:t>
          </w:r>
          <w:r>
            <w:rPr>
              <w:rFonts w:hint="default" w:ascii="Times New Roman Regular" w:hAnsi="Times New Roman Regular" w:eastAsia="宋体" w:cs="Times New Roman Regular"/>
              <w:b w:val="0"/>
              <w:bCs w:val="0"/>
              <w:szCs w:val="24"/>
              <w:lang w:val="en-US" w:eastAsia="zh-CN"/>
            </w:rPr>
            <w:t>主要内容</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_Toc978340695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5</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4081AB06">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_Toc1837259433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1．范围</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_Toc1837259433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5</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4201B01D">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_Toc151930218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2．规范性引用文件</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_Toc151930218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5</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1602F734">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_Toc133117643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3．术语和定义</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_Toc133117643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6</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40C9BAEA">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_Toc1777749374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4．总体要求</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_Toc1777749374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6</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52BE1658">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_Toc693748107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5．通用技术规范</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_Toc693748107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6</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05FB4434">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_Toc1135714786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6．专用技术规范</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_Toc1135714786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6</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6DF0984F">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_Toc1123753766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7．附录</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_Toc1123753766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7740177">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_Toc1958353444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（二）</w:t>
          </w:r>
          <w:r>
            <w:rPr>
              <w:rFonts w:hint="default" w:ascii="Times New Roman Regular" w:hAnsi="Times New Roman Regular" w:eastAsia="宋体" w:cs="Times New Roman Regular"/>
              <w:b w:val="0"/>
              <w:bCs w:val="0"/>
              <w:szCs w:val="24"/>
              <w:lang w:val="en-US" w:eastAsia="zh-CN"/>
            </w:rPr>
            <w:t>编制特点</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_Toc1958353444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140C5412">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_Toc1711959386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1．统一性</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_Toc1711959386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2542E549">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_Toc915497996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2．科学性</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_Toc915497996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C57A844">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_Toc54488017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3．实践性</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_Toc54488017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11EBBD6A">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_Toc952068097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1"/>
              <w:lang w:val="en-US" w:eastAsia="zh-CN"/>
            </w:rPr>
            <w:t>4．</w:t>
          </w:r>
          <w:r>
            <w:rPr>
              <w:rFonts w:hint="default" w:ascii="Times New Roman Regular" w:hAnsi="Times New Roman Regular" w:eastAsia="宋体" w:cs="Times New Roman Regular"/>
              <w:b w:val="0"/>
              <w:bCs/>
              <w:kern w:val="2"/>
              <w:szCs w:val="21"/>
              <w:lang w:val="en-US" w:eastAsia="zh-CN"/>
            </w:rPr>
            <w:t>全面性</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_Toc952068097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16366002">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_Toc507852482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1"/>
              <w:lang w:val="en-US" w:eastAsia="zh-CN"/>
            </w:rPr>
            <w:t>5．</w:t>
          </w:r>
          <w:r>
            <w:rPr>
              <w:rFonts w:hint="default" w:ascii="Times New Roman Regular" w:hAnsi="Times New Roman Regular" w:eastAsia="宋体" w:cs="Times New Roman Regular"/>
              <w:b w:val="0"/>
              <w:bCs/>
              <w:kern w:val="2"/>
              <w:szCs w:val="21"/>
              <w:lang w:val="en-US" w:eastAsia="zh-CN"/>
            </w:rPr>
            <w:t>先进性</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_Toc507852482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4D06020C">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_Toc1376651796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五、重大意见分歧的处理经过和依据</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_Toc1376651796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7</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02501295">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_Toc397922594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六、采标情况</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_Toc397922594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8</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51605B11">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_Toc620960600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七、与现行法律法规和强制性国家标准的关系</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_Toc620960600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8</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22FEC237">
          <w:pPr>
            <w:keepNext w:val="0"/>
            <w:keepLines w:val="0"/>
            <w:pageBreakBefore w:val="0"/>
            <w:widowControl w:val="0"/>
            <w:tabs>
              <w:tab w:val="right" w:leader="dot" w:pos="8296"/>
            </w:tabs>
            <w:kinsoku/>
            <w:wordWrap/>
            <w:overflowPunct/>
            <w:topLinePunct w:val="0"/>
            <w:autoSpaceDE/>
            <w:autoSpaceDN/>
            <w:bidi w:val="0"/>
            <w:adjustRightInd/>
            <w:snapToGrid/>
            <w:spacing w:beforeLines="0" w:afterLines="0" w:line="360" w:lineRule="exact"/>
            <w:jc w:val="center"/>
            <w:textAlignment w:val="auto"/>
            <w:rPr>
              <w:rFonts w:hint="eastAsia" w:ascii="黑体" w:hAnsi="黑体" w:eastAsia="黑体" w:cs="黑体"/>
              <w:kern w:val="2"/>
              <w:sz w:val="21"/>
              <w:szCs w:val="32"/>
              <w:lang w:val="zh-CN" w:eastAsia="zh-CN" w:bidi="ar-SA"/>
            </w:rPr>
          </w:pPr>
          <w:r>
            <w:rPr>
              <w:rFonts w:hint="default" w:ascii="Times New Roman Regular" w:hAnsi="Times New Roman Regular" w:eastAsia="宋体" w:cs="Times New Roman Regular"/>
              <w:b w:val="0"/>
              <w:kern w:val="2"/>
              <w:szCs w:val="32"/>
              <w:lang w:val="zh-CN" w:eastAsia="zh-CN" w:bidi="ar-SA"/>
            </w:rPr>
            <w:fldChar w:fldCharType="end"/>
          </w:r>
        </w:p>
      </w:sdtContent>
    </w:sdt>
    <w:p w14:paraId="2D57963E">
      <w:pPr>
        <w:tabs>
          <w:tab w:val="right" w:leader="dot" w:pos="8296"/>
        </w:tabs>
        <w:jc w:val="center"/>
        <w:rPr>
          <w:rFonts w:hint="eastAsia" w:ascii="黑体" w:hAnsi="黑体" w:eastAsia="黑体" w:cs="黑体"/>
          <w:kern w:val="2"/>
          <w:sz w:val="21"/>
          <w:szCs w:val="32"/>
          <w:lang w:val="zh-CN" w:eastAsia="zh-CN" w:bidi="ar-SA"/>
        </w:rPr>
      </w:pPr>
    </w:p>
    <w:p w14:paraId="35BF9403">
      <w:pPr>
        <w:widowControl/>
        <w:autoSpaceDE w:val="0"/>
        <w:autoSpaceDN w:val="0"/>
        <w:adjustRightInd w:val="0"/>
        <w:spacing w:before="157" w:beforeLines="50" w:after="313" w:afterLines="100" w:line="360" w:lineRule="auto"/>
        <w:jc w:val="center"/>
        <w:outlineLvl w:val="9"/>
        <w:rPr>
          <w:rFonts w:hint="default" w:ascii="Times New Roman" w:hAnsi="Times New Roman" w:eastAsia="黑体" w:cstheme="minorBidi"/>
          <w:b w:val="0"/>
          <w:kern w:val="2"/>
          <w:sz w:val="32"/>
          <w:szCs w:val="32"/>
          <w:lang w:val="zh-CN"/>
        </w:rPr>
        <w:sectPr>
          <w:footerReference r:id="rId4" w:type="default"/>
          <w:pgSz w:w="11906" w:h="16838"/>
          <w:pgMar w:top="1440" w:right="1800" w:bottom="1440" w:left="1800" w:header="851" w:footer="850" w:gutter="0"/>
          <w:pgBorders>
            <w:top w:val="none" w:sz="0" w:space="0"/>
            <w:left w:val="none" w:sz="0" w:space="0"/>
            <w:bottom w:val="none" w:sz="0" w:space="0"/>
            <w:right w:val="none" w:sz="0" w:space="0"/>
          </w:pgBorders>
          <w:pgNumType w:fmt="decimal" w:start="1"/>
          <w:cols w:space="425" w:num="1"/>
          <w:docGrid w:type="lines" w:linePitch="312" w:charSpace="0"/>
        </w:sectPr>
      </w:pPr>
    </w:p>
    <w:p w14:paraId="290AA183">
      <w:pPr>
        <w:keepNext w:val="0"/>
        <w:keepLines w:val="0"/>
        <w:pageBreakBefore w:val="0"/>
        <w:widowControl w:val="0"/>
        <w:kinsoku/>
        <w:wordWrap/>
        <w:overflowPunct/>
        <w:topLinePunct w:val="0"/>
        <w:autoSpaceDE w:val="0"/>
        <w:autoSpaceDN w:val="0"/>
        <w:bidi w:val="0"/>
        <w:adjustRightInd w:val="0"/>
        <w:snapToGrid/>
        <w:spacing w:after="313" w:afterLines="100" w:line="360" w:lineRule="auto"/>
        <w:jc w:val="center"/>
        <w:textAlignment w:val="auto"/>
        <w:outlineLvl w:val="9"/>
        <w:rPr>
          <w:rFonts w:hint="eastAsia" w:ascii="黑体" w:hAnsi="黑体" w:eastAsia="黑体" w:cs="黑体"/>
          <w:bCs w:val="0"/>
          <w:kern w:val="2"/>
          <w:sz w:val="32"/>
          <w:szCs w:val="32"/>
          <w:lang w:val="zh-CN"/>
        </w:rPr>
      </w:pPr>
      <w:r>
        <w:rPr>
          <w:rFonts w:hint="eastAsia" w:ascii="黑体" w:hAnsi="黑体" w:eastAsia="黑体" w:cs="黑体"/>
          <w:b w:val="0"/>
          <w:bCs w:val="0"/>
          <w:sz w:val="32"/>
          <w:szCs w:val="32"/>
          <w:highlight w:val="none"/>
          <w:lang w:val="en-US" w:eastAsia="zh-CN"/>
        </w:rPr>
        <w:t>《送审稿》编制说明</w:t>
      </w:r>
      <w:bookmarkEnd w:id="0"/>
    </w:p>
    <w:p w14:paraId="7A856831">
      <w:pPr>
        <w:pStyle w:val="2"/>
        <w:pageBreakBefore w:val="0"/>
        <w:widowControl w:val="0"/>
        <w:numPr>
          <w:ilvl w:val="0"/>
          <w:numId w:val="6"/>
        </w:numPr>
        <w:kinsoku/>
        <w:wordWrap/>
        <w:overflowPunct/>
        <w:topLinePunct w:val="0"/>
        <w:autoSpaceDE/>
        <w:autoSpaceDN/>
        <w:bidi w:val="0"/>
        <w:adjustRightInd/>
        <w:snapToGrid/>
        <w:spacing w:before="157" w:beforeLines="50" w:after="157" w:afterLines="50" w:line="360" w:lineRule="auto"/>
        <w:ind w:firstLine="420"/>
        <w:textAlignment w:val="auto"/>
        <w:rPr>
          <w:rFonts w:hint="eastAsia" w:ascii="黑体" w:hAnsi="黑体" w:eastAsia="黑体" w:cs="黑体"/>
          <w:b w:val="0"/>
          <w:sz w:val="28"/>
          <w:szCs w:val="28"/>
        </w:rPr>
      </w:pPr>
      <w:bookmarkStart w:id="13" w:name="_Toc26735"/>
      <w:bookmarkStart w:id="14" w:name="_Toc6506"/>
      <w:bookmarkStart w:id="15" w:name="_Toc26147"/>
      <w:bookmarkStart w:id="16" w:name="_Toc13053"/>
      <w:bookmarkStart w:id="17" w:name="_Toc32428"/>
      <w:bookmarkStart w:id="18" w:name="_Toc1684"/>
      <w:bookmarkStart w:id="19" w:name="_Toc7173"/>
      <w:bookmarkStart w:id="20" w:name="_Toc262095872"/>
      <w:bookmarkStart w:id="21" w:name="_Toc2273"/>
      <w:bookmarkStart w:id="22" w:name="_Toc7834"/>
      <w:bookmarkStart w:id="23" w:name="_Toc28305"/>
      <w:bookmarkStart w:id="24" w:name="_Toc474794126"/>
      <w:bookmarkStart w:id="25" w:name="_Toc8672"/>
      <w:bookmarkStart w:id="26" w:name="_Toc10066"/>
      <w:r>
        <w:rPr>
          <w:rFonts w:hint="eastAsia" w:ascii="黑体" w:hAnsi="黑体" w:eastAsia="黑体" w:cs="黑体"/>
          <w:b w:val="0"/>
          <w:sz w:val="28"/>
          <w:szCs w:val="28"/>
          <w:lang w:val="en-US" w:eastAsia="zh-CN"/>
        </w:rPr>
        <w:t>工作简况</w:t>
      </w:r>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3DAC34BD">
      <w:pPr>
        <w:pageBreakBefore w:val="0"/>
        <w:widowControl w:val="0"/>
        <w:numPr>
          <w:ilvl w:val="0"/>
          <w:numId w:val="7"/>
        </w:numPr>
        <w:kinsoku/>
        <w:wordWrap/>
        <w:overflowPunct/>
        <w:topLinePunct w:val="0"/>
        <w:autoSpaceDE/>
        <w:autoSpaceDN/>
        <w:bidi w:val="0"/>
        <w:adjustRightInd/>
        <w:snapToGrid/>
        <w:spacing w:before="157" w:beforeLines="50" w:after="157" w:afterLines="50" w:line="360" w:lineRule="auto"/>
        <w:ind w:firstLine="420" w:firstLineChars="0"/>
        <w:textAlignment w:val="auto"/>
        <w:outlineLvl w:val="1"/>
        <w:rPr>
          <w:rFonts w:hint="eastAsia" w:ascii="黑体" w:hAnsi="黑体" w:eastAsia="黑体" w:cs="黑体"/>
          <w:b w:val="0"/>
          <w:bCs/>
          <w:sz w:val="24"/>
          <w:szCs w:val="24"/>
          <w:lang w:val="en-US" w:eastAsia="zh-CN"/>
        </w:rPr>
      </w:pPr>
      <w:bookmarkStart w:id="27" w:name="_Toc1963127077"/>
      <w:bookmarkStart w:id="28" w:name="_Toc8748"/>
      <w:bookmarkStart w:id="29" w:name="_Toc556360707"/>
      <w:bookmarkStart w:id="30" w:name="_Toc17126"/>
      <w:bookmarkStart w:id="31" w:name="_Toc546"/>
      <w:bookmarkStart w:id="32" w:name="_Toc11618"/>
      <w:bookmarkStart w:id="33" w:name="_Toc19019"/>
      <w:bookmarkStart w:id="34" w:name="_Toc12774"/>
      <w:r>
        <w:rPr>
          <w:rFonts w:hint="eastAsia" w:ascii="黑体" w:hAnsi="黑体" w:eastAsia="黑体" w:cs="黑体"/>
          <w:b w:val="0"/>
          <w:bCs/>
          <w:sz w:val="24"/>
          <w:szCs w:val="24"/>
          <w:lang w:val="en-US" w:eastAsia="zh-CN"/>
        </w:rPr>
        <w:t>项目简述</w:t>
      </w:r>
      <w:bookmarkEnd w:id="27"/>
      <w:bookmarkEnd w:id="28"/>
      <w:bookmarkEnd w:id="29"/>
      <w:bookmarkEnd w:id="30"/>
      <w:bookmarkEnd w:id="31"/>
      <w:bookmarkEnd w:id="32"/>
      <w:bookmarkEnd w:id="33"/>
      <w:bookmarkEnd w:id="34"/>
    </w:p>
    <w:p w14:paraId="17843EA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420" w:firstLineChars="200"/>
        <w:textAlignment w:val="auto"/>
        <w:rPr>
          <w:rFonts w:hint="default"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《电线电缆采购技术规范 第15部分：海底电力电缆（6kV~35kV）》系T/CTBA 006《电线电缆采购技术规范》的第15部分，</w:t>
      </w:r>
      <w:r>
        <w:rPr>
          <w:rFonts w:hint="default" w:ascii="Times New Roman Regular" w:hAnsi="Times New Roman Regular" w:eastAsia="宋体" w:cs="Times New Roman Regular"/>
          <w:b w:val="0"/>
          <w:bCs w:val="0"/>
          <w:sz w:val="21"/>
          <w:szCs w:val="21"/>
          <w:lang w:val="en-US" w:eastAsia="zh-CN"/>
        </w:rPr>
        <w:t>由中国招标投标协会企业物资采购技术标准与碳标签工作部提出，中国招标投标协会归口。</w:t>
      </w:r>
    </w:p>
    <w:p w14:paraId="15D957E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420" w:firstLineChars="200"/>
        <w:textAlignment w:val="auto"/>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T/CTBA 006《电线电缆采购技术规范》是中国招标投标协会针对企业物资采购“技术规范书”编制工作重复、低效，产品需求规格、技术指标和服务描述不完整、不明确、不合规等招采管理痛点问题，整合企业间相同采购需求，组织产业链骨干企业共同编制和共享成果的团体标准，旨在共享采购信息知识经验，引导企业采购标准化建设、集约化管理和数字化转型，切实推动全国统一大市场和高标准市场体系建设，促进现代绿色低碳智慧供应链、产业链高质量发展。</w:t>
      </w:r>
    </w:p>
    <w:p w14:paraId="3EE98DC1">
      <w:pPr>
        <w:pageBreakBefore w:val="0"/>
        <w:widowControl w:val="0"/>
        <w:numPr>
          <w:ilvl w:val="0"/>
          <w:numId w:val="7"/>
        </w:numPr>
        <w:kinsoku/>
        <w:wordWrap/>
        <w:overflowPunct/>
        <w:topLinePunct w:val="0"/>
        <w:autoSpaceDE/>
        <w:autoSpaceDN/>
        <w:bidi w:val="0"/>
        <w:adjustRightInd/>
        <w:snapToGrid/>
        <w:spacing w:before="157" w:beforeLines="50" w:after="157" w:afterLines="50" w:line="360" w:lineRule="auto"/>
        <w:ind w:firstLine="420" w:firstLineChars="0"/>
        <w:textAlignment w:val="auto"/>
        <w:outlineLvl w:val="1"/>
        <w:rPr>
          <w:rFonts w:hint="eastAsia" w:ascii="黑体" w:hAnsi="黑体" w:eastAsia="黑体" w:cs="黑体"/>
          <w:b w:val="0"/>
          <w:bCs/>
          <w:sz w:val="24"/>
          <w:szCs w:val="24"/>
          <w:lang w:val="en-US" w:eastAsia="zh-CN"/>
        </w:rPr>
      </w:pPr>
      <w:bookmarkStart w:id="35" w:name="_Toc338030631"/>
      <w:bookmarkStart w:id="36" w:name="_Toc13791"/>
      <w:bookmarkStart w:id="37" w:name="_Toc32418"/>
      <w:bookmarkStart w:id="38" w:name="_Toc7245"/>
      <w:bookmarkStart w:id="39" w:name="_Toc610603511"/>
      <w:bookmarkStart w:id="40" w:name="_Toc19726"/>
      <w:bookmarkStart w:id="41" w:name="_Toc9349"/>
      <w:bookmarkStart w:id="42" w:name="_Toc24930"/>
      <w:r>
        <w:rPr>
          <w:rFonts w:hint="eastAsia" w:ascii="黑体" w:hAnsi="黑体" w:eastAsia="黑体" w:cs="黑体"/>
          <w:b w:val="0"/>
          <w:bCs/>
          <w:sz w:val="24"/>
          <w:szCs w:val="24"/>
          <w:lang w:val="en-US" w:eastAsia="zh-CN"/>
        </w:rPr>
        <w:t>制定背景</w:t>
      </w:r>
      <w:bookmarkEnd w:id="35"/>
      <w:bookmarkEnd w:id="36"/>
      <w:bookmarkEnd w:id="37"/>
      <w:bookmarkEnd w:id="38"/>
      <w:bookmarkEnd w:id="39"/>
      <w:bookmarkEnd w:id="40"/>
      <w:bookmarkEnd w:id="41"/>
      <w:bookmarkEnd w:id="42"/>
    </w:p>
    <w:p w14:paraId="6E8871CA">
      <w:pPr>
        <w:pageBreakBefore w:val="0"/>
        <w:widowControl w:val="0"/>
        <w:numPr>
          <w:ilvl w:val="0"/>
          <w:numId w:val="8"/>
        </w:numPr>
        <w:kinsoku/>
        <w:wordWrap/>
        <w:overflowPunct/>
        <w:topLinePunct w:val="0"/>
        <w:autoSpaceDE/>
        <w:autoSpaceDN/>
        <w:bidi w:val="0"/>
        <w:adjustRightInd/>
        <w:snapToGrid/>
        <w:spacing w:before="157" w:beforeLines="50" w:after="157" w:afterLines="50" w:line="360" w:lineRule="auto"/>
        <w:ind w:left="0" w:firstLine="420" w:firstLineChars="200"/>
        <w:textAlignment w:val="auto"/>
        <w:rPr>
          <w:rFonts w:hint="default" w:ascii="Times New Roman Regular" w:hAnsi="Times New Roman Regular" w:eastAsia="宋体" w:cs="Times New Roman Regular"/>
          <w:b w:val="0"/>
          <w:bCs w:val="0"/>
          <w:sz w:val="21"/>
          <w:szCs w:val="21"/>
          <w:lang w:val="en-US" w:eastAsia="zh-CN"/>
        </w:rPr>
      </w:pPr>
      <w:r>
        <w:rPr>
          <w:rFonts w:hint="default" w:ascii="Times New Roman Regular" w:hAnsi="Times New Roman Regular" w:eastAsia="宋体" w:cs="Times New Roman Regular"/>
          <w:b w:val="0"/>
          <w:sz w:val="21"/>
          <w:szCs w:val="21"/>
          <w:lang w:val="en-US" w:eastAsia="zh-CN"/>
        </w:rPr>
        <w:t>党的十九大报告首次提出现代供应链概念，提出</w:t>
      </w:r>
      <w:r>
        <w:rPr>
          <w:rFonts w:hint="eastAsia" w:ascii="宋体" w:hAnsi="宋体" w:eastAsia="宋体" w:cs="宋体"/>
          <w:b w:val="0"/>
          <w:sz w:val="21"/>
          <w:szCs w:val="21"/>
          <w:lang w:val="en-US" w:eastAsia="zh-CN"/>
        </w:rPr>
        <w:t>“在中高端消费、创新引领、绿色低碳、共享经济、现代供应链、人力资本服务等领域培育新增长点、形成新动能”</w:t>
      </w:r>
      <w:r>
        <w:rPr>
          <w:rFonts w:hint="default" w:ascii="Times New Roman Regular" w:hAnsi="Times New Roman Regular" w:eastAsia="宋体" w:cs="Times New Roman Regular"/>
          <w:b w:val="0"/>
          <w:sz w:val="21"/>
          <w:szCs w:val="21"/>
          <w:lang w:val="en-US" w:eastAsia="zh-CN"/>
        </w:rPr>
        <w:t>。</w:t>
      </w:r>
      <w:r>
        <w:rPr>
          <w:rFonts w:hint="default" w:ascii="Times New Roman Regular" w:hAnsi="Times New Roman Regular" w:eastAsia="宋体" w:cs="Times New Roman Regular"/>
          <w:b w:val="0"/>
          <w:bCs w:val="0"/>
          <w:sz w:val="21"/>
          <w:szCs w:val="21"/>
          <w:lang w:val="en-US" w:eastAsia="zh-CN"/>
        </w:rPr>
        <w:t>企业物资采购技术标准是现代供应链的基石，现代供应链的建设与发展有赖于物资采购体系的标准化、数字化和智慧化。</w:t>
      </w:r>
    </w:p>
    <w:p w14:paraId="674A6080">
      <w:pPr>
        <w:pageBreakBefore w:val="0"/>
        <w:widowControl w:val="0"/>
        <w:numPr>
          <w:ilvl w:val="0"/>
          <w:numId w:val="8"/>
        </w:numPr>
        <w:kinsoku/>
        <w:wordWrap/>
        <w:overflowPunct/>
        <w:topLinePunct w:val="0"/>
        <w:autoSpaceDE/>
        <w:autoSpaceDN/>
        <w:bidi w:val="0"/>
        <w:adjustRightInd/>
        <w:snapToGrid/>
        <w:spacing w:before="157" w:beforeLines="50" w:after="157" w:afterLines="50" w:line="360" w:lineRule="auto"/>
        <w:ind w:left="0" w:leftChars="0" w:firstLine="420" w:firstLineChars="200"/>
        <w:textAlignment w:val="auto"/>
        <w:rPr>
          <w:rFonts w:hint="default" w:ascii="Times New Roman Regular" w:hAnsi="Times New Roman Regular" w:eastAsia="宋体" w:cs="Times New Roman Regular"/>
          <w:b w:val="0"/>
          <w:sz w:val="21"/>
          <w:szCs w:val="21"/>
          <w:lang w:val="en-US" w:eastAsia="zh-CN"/>
        </w:rPr>
      </w:pPr>
      <w:r>
        <w:rPr>
          <w:rFonts w:hint="eastAsia" w:ascii="宋体" w:hAnsi="宋体" w:eastAsia="宋体" w:cs="宋体"/>
          <w:b w:val="0"/>
          <w:bCs w:val="0"/>
          <w:sz w:val="21"/>
          <w:szCs w:val="21"/>
          <w:lang w:val="en-US" w:eastAsia="zh-CN"/>
        </w:rPr>
        <w:t>“构建全国统一大市场”和“建设高标准市场体系”</w:t>
      </w:r>
      <w:r>
        <w:rPr>
          <w:rFonts w:hint="default" w:ascii="Times New Roman Regular" w:hAnsi="Times New Roman Regular" w:eastAsia="宋体" w:cs="Times New Roman Regular"/>
          <w:b w:val="0"/>
          <w:bCs w:val="0"/>
          <w:sz w:val="21"/>
          <w:szCs w:val="21"/>
          <w:lang w:val="en-US" w:eastAsia="zh-CN"/>
        </w:rPr>
        <w:t>是国家战略，制定高水平采购技术标准是构建全国统一大市场和建设高标准市场体系的必然举措。《国务院办公厅关于创新完善体制机制推动招标投标市场规范健康发展的意见（国办发〔2024〕21号）》明确要求：</w:t>
      </w:r>
      <w:r>
        <w:rPr>
          <w:rFonts w:hint="eastAsia" w:ascii="宋体" w:hAnsi="宋体" w:eastAsia="宋体" w:cs="宋体"/>
          <w:b w:val="0"/>
          <w:bCs w:val="0"/>
          <w:sz w:val="21"/>
          <w:szCs w:val="21"/>
          <w:lang w:val="en-US" w:eastAsia="zh-CN"/>
        </w:rPr>
        <w:t>“</w:t>
      </w:r>
      <w:r>
        <w:rPr>
          <w:rFonts w:hint="default" w:ascii="Times New Roman Regular" w:hAnsi="Times New Roman Regular" w:eastAsia="宋体" w:cs="Times New Roman Regular"/>
          <w:b w:val="0"/>
          <w:bCs w:val="0"/>
          <w:sz w:val="21"/>
          <w:szCs w:val="21"/>
          <w:lang w:val="en-US" w:eastAsia="zh-CN"/>
        </w:rPr>
        <w:t>加快构建科学规范的招标投标交易标准体系，按照不同领域和专业制定数字化招标采购技术标准，满足各类项目专业化交易需求。建立招标投标领域统一分级分类的信用评价指标体系，规范招标投标信用评价应用。</w:t>
      </w:r>
      <w:r>
        <w:rPr>
          <w:rFonts w:hint="eastAsia" w:ascii="宋体" w:hAnsi="宋体" w:eastAsia="宋体" w:cs="宋体"/>
          <w:b w:val="0"/>
          <w:bCs w:val="0"/>
          <w:sz w:val="21"/>
          <w:szCs w:val="21"/>
          <w:lang w:val="en-US" w:eastAsia="zh-CN"/>
        </w:rPr>
        <w:t>”</w:t>
      </w:r>
    </w:p>
    <w:p w14:paraId="4027B4D3">
      <w:pPr>
        <w:pageBreakBefore w:val="0"/>
        <w:widowControl w:val="0"/>
        <w:numPr>
          <w:ilvl w:val="0"/>
          <w:numId w:val="8"/>
        </w:numPr>
        <w:kinsoku/>
        <w:wordWrap/>
        <w:overflowPunct/>
        <w:topLinePunct w:val="0"/>
        <w:autoSpaceDE/>
        <w:autoSpaceDN/>
        <w:bidi w:val="0"/>
        <w:adjustRightInd/>
        <w:snapToGrid/>
        <w:spacing w:before="157" w:beforeLines="50" w:after="157" w:afterLines="50" w:line="360" w:lineRule="auto"/>
        <w:ind w:left="0" w:leftChars="0" w:firstLine="420" w:firstLineChars="200"/>
        <w:textAlignment w:val="auto"/>
        <w:rPr>
          <w:rFonts w:hint="default" w:ascii="Times New Roman Regular" w:hAnsi="Times New Roman Regular" w:eastAsia="宋体" w:cs="Times New Roman Regular"/>
          <w:b w:val="0"/>
          <w:sz w:val="21"/>
          <w:szCs w:val="21"/>
          <w:lang w:val="en-US" w:eastAsia="zh-CN"/>
        </w:rPr>
      </w:pPr>
      <w:r>
        <w:rPr>
          <w:rFonts w:hint="default" w:ascii="Times New Roman Regular" w:hAnsi="Times New Roman Regular" w:eastAsia="宋体" w:cs="Times New Roman Regular"/>
          <w:b w:val="0"/>
          <w:sz w:val="21"/>
          <w:szCs w:val="21"/>
          <w:lang w:val="en-US" w:eastAsia="zh-CN"/>
        </w:rPr>
        <w:t>国家鼓励企业、高等学校、科研机构和社会团体等开展标准化专业技术服务工作，提升标准化服务的社会化、市场化水平，服务企业标准化工作。（《企业标准化促进办法》2023年8月31日国家市场监督管理总局令第83号）&amp;（《政府采购需求管理办法》财库〔2021〕22号）</w:t>
      </w:r>
    </w:p>
    <w:p w14:paraId="7ADEFA37">
      <w:pPr>
        <w:keepNext w:val="0"/>
        <w:keepLines w:val="0"/>
        <w:pageBreakBefore w:val="0"/>
        <w:numPr>
          <w:ilvl w:val="0"/>
          <w:numId w:val="7"/>
        </w:numPr>
        <w:kinsoku/>
        <w:wordWrap/>
        <w:overflowPunct/>
        <w:topLinePunct w:val="0"/>
        <w:autoSpaceDE/>
        <w:autoSpaceDN/>
        <w:bidi w:val="0"/>
        <w:adjustRightInd/>
        <w:snapToGrid/>
        <w:spacing w:before="157" w:beforeLines="50" w:after="157" w:afterLines="50" w:line="360" w:lineRule="auto"/>
        <w:ind w:firstLine="420"/>
        <w:textAlignment w:val="auto"/>
        <w:outlineLvl w:val="1"/>
        <w:rPr>
          <w:rFonts w:hint="eastAsia" w:ascii="黑体" w:hAnsi="黑体" w:eastAsia="黑体" w:cs="黑体"/>
          <w:b w:val="0"/>
          <w:bCs/>
          <w:sz w:val="24"/>
          <w:szCs w:val="24"/>
        </w:rPr>
      </w:pPr>
      <w:bookmarkStart w:id="43" w:name="_Toc1186568902"/>
      <w:bookmarkStart w:id="44" w:name="_Toc26444"/>
      <w:bookmarkStart w:id="45" w:name="_Toc11138"/>
      <w:bookmarkStart w:id="46" w:name="_Toc29426"/>
      <w:bookmarkStart w:id="47" w:name="_Toc29490"/>
      <w:bookmarkStart w:id="48" w:name="_Toc15370"/>
      <w:bookmarkStart w:id="49" w:name="_Toc4636"/>
      <w:bookmarkStart w:id="50" w:name="_Toc1736344011"/>
      <w:r>
        <w:rPr>
          <w:rFonts w:hint="eastAsia" w:ascii="黑体" w:hAnsi="黑体" w:eastAsia="黑体" w:cs="黑体"/>
          <w:b w:val="0"/>
          <w:bCs/>
          <w:sz w:val="24"/>
          <w:szCs w:val="24"/>
        </w:rPr>
        <w:t>主要工作过程</w:t>
      </w:r>
      <w:bookmarkEnd w:id="43"/>
      <w:bookmarkEnd w:id="44"/>
      <w:bookmarkEnd w:id="45"/>
      <w:bookmarkEnd w:id="46"/>
      <w:bookmarkEnd w:id="47"/>
      <w:bookmarkEnd w:id="48"/>
      <w:bookmarkEnd w:id="49"/>
      <w:bookmarkEnd w:id="50"/>
    </w:p>
    <w:p w14:paraId="638DC08F">
      <w:pPr>
        <w:keepNext w:val="0"/>
        <w:keepLines w:val="0"/>
        <w:pageBreakBefore w:val="0"/>
        <w:numPr>
          <w:ilvl w:val="0"/>
          <w:numId w:val="9"/>
        </w:numPr>
        <w:kinsoku/>
        <w:wordWrap/>
        <w:overflowPunct/>
        <w:topLinePunct w:val="0"/>
        <w:autoSpaceDE/>
        <w:autoSpaceDN/>
        <w:bidi w:val="0"/>
        <w:adjustRightInd/>
        <w:snapToGrid/>
        <w:spacing w:before="157" w:beforeLines="50" w:after="157" w:afterLines="50" w:line="360" w:lineRule="auto"/>
        <w:ind w:firstLine="420" w:firstLineChars="200"/>
        <w:textAlignment w:val="auto"/>
        <w:outlineLvl w:val="2"/>
        <w:rPr>
          <w:rFonts w:hint="default" w:ascii="Times New Roman Regular" w:hAnsi="Times New Roman Regular" w:eastAsia="宋体" w:cs="Times New Roman Regular"/>
          <w:b/>
          <w:bCs/>
          <w:kern w:val="2"/>
          <w:sz w:val="21"/>
          <w:szCs w:val="21"/>
        </w:rPr>
      </w:pPr>
      <w:bookmarkStart w:id="51" w:name="_Toc28989"/>
      <w:bookmarkStart w:id="52" w:name="_Toc1130389872"/>
      <w:bookmarkStart w:id="53" w:name="_Toc11739"/>
      <w:bookmarkStart w:id="54" w:name="_Toc12796"/>
      <w:bookmarkStart w:id="55" w:name="_Toc578513794"/>
      <w:bookmarkStart w:id="56" w:name="_Toc1133"/>
      <w:bookmarkStart w:id="57" w:name="_Toc11490"/>
      <w:r>
        <w:rPr>
          <w:rFonts w:hint="default" w:ascii="Times New Roman Regular" w:hAnsi="Times New Roman Regular" w:eastAsia="宋体" w:cs="Times New Roman Regular"/>
          <w:b/>
          <w:bCs/>
          <w:sz w:val="21"/>
          <w:szCs w:val="21"/>
        </w:rPr>
        <w:t>预研阶段</w:t>
      </w:r>
      <w:bookmarkEnd w:id="51"/>
      <w:bookmarkEnd w:id="52"/>
      <w:bookmarkEnd w:id="53"/>
      <w:bookmarkEnd w:id="54"/>
      <w:bookmarkEnd w:id="55"/>
      <w:bookmarkEnd w:id="56"/>
      <w:bookmarkEnd w:id="57"/>
    </w:p>
    <w:p w14:paraId="3AE3C250">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20" w:firstLineChars="200"/>
        <w:jc w:val="both"/>
        <w:textAlignment w:val="auto"/>
        <w:rPr>
          <w:rFonts w:hint="default"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rPr>
        <w:t>202</w:t>
      </w:r>
      <w:r>
        <w:rPr>
          <w:rFonts w:hint="default" w:ascii="Times New Roman Regular" w:hAnsi="Times New Roman Regular" w:eastAsia="宋体" w:cs="Times New Roman Regular"/>
          <w:b w:val="0"/>
          <w:kern w:val="2"/>
          <w:sz w:val="21"/>
          <w:szCs w:val="21"/>
          <w:lang w:val="en-US" w:eastAsia="zh-CN"/>
        </w:rPr>
        <w:t>3</w:t>
      </w:r>
      <w:r>
        <w:rPr>
          <w:rFonts w:hint="default" w:ascii="Times New Roman Regular" w:hAnsi="Times New Roman Regular" w:eastAsia="宋体" w:cs="Times New Roman Regular"/>
          <w:b w:val="0"/>
          <w:kern w:val="2"/>
          <w:sz w:val="21"/>
          <w:szCs w:val="21"/>
        </w:rPr>
        <w:t>年</w:t>
      </w:r>
      <w:r>
        <w:rPr>
          <w:rFonts w:hint="default" w:ascii="Times New Roman Regular" w:hAnsi="Times New Roman Regular" w:eastAsia="宋体" w:cs="Times New Roman Regular"/>
          <w:b w:val="0"/>
          <w:kern w:val="2"/>
          <w:sz w:val="21"/>
          <w:szCs w:val="21"/>
          <w:lang w:val="en-US" w:eastAsia="zh-CN"/>
        </w:rPr>
        <w:t>12</w:t>
      </w:r>
      <w:r>
        <w:rPr>
          <w:rFonts w:hint="default" w:ascii="Times New Roman Regular" w:hAnsi="Times New Roman Regular" w:eastAsia="宋体" w:cs="Times New Roman Regular"/>
          <w:b w:val="0"/>
          <w:kern w:val="2"/>
          <w:sz w:val="21"/>
          <w:szCs w:val="21"/>
        </w:rPr>
        <w:t>月</w:t>
      </w:r>
      <w:r>
        <w:rPr>
          <w:rFonts w:hint="default" w:ascii="Times New Roman Regular" w:hAnsi="Times New Roman Regular" w:eastAsia="宋体" w:cs="Times New Roman Regular"/>
          <w:b w:val="0"/>
          <w:kern w:val="2"/>
          <w:sz w:val="21"/>
          <w:szCs w:val="21"/>
          <w:lang w:eastAsia="zh-CN"/>
        </w:rPr>
        <w:t>，</w:t>
      </w:r>
      <w:r>
        <w:rPr>
          <w:rFonts w:hint="default" w:ascii="Times New Roman Regular" w:hAnsi="Times New Roman Regular" w:eastAsia="宋体" w:cs="Times New Roman Regular"/>
          <w:b w:val="0"/>
          <w:kern w:val="2"/>
          <w:sz w:val="21"/>
          <w:szCs w:val="21"/>
          <w:lang w:val="en-US" w:eastAsia="zh-CN"/>
        </w:rPr>
        <w:t>国信云联数据科技股份有限公司率先提出，并着手标准项目预研工作。</w:t>
      </w:r>
    </w:p>
    <w:p w14:paraId="74E3A5DD">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20" w:firstLineChars="200"/>
        <w:jc w:val="both"/>
        <w:textAlignment w:val="auto"/>
        <w:rPr>
          <w:rFonts w:hint="default"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lang w:val="en-US" w:eastAsia="zh-CN"/>
        </w:rPr>
        <w:t>2024年1—3月，</w:t>
      </w:r>
      <w:r>
        <w:rPr>
          <w:rFonts w:hint="eastAsia" w:ascii="Times New Roman Regular" w:hAnsi="Times New Roman Regular" w:eastAsia="宋体" w:cs="Times New Roman Regular"/>
          <w:b w:val="0"/>
          <w:kern w:val="2"/>
          <w:sz w:val="21"/>
          <w:szCs w:val="21"/>
          <w:lang w:val="en-US" w:eastAsia="zh-CN"/>
        </w:rPr>
        <w:t>中国华能集团</w:t>
      </w:r>
      <w:r>
        <w:rPr>
          <w:rFonts w:hint="default" w:ascii="Times New Roman Regular" w:hAnsi="Times New Roman Regular" w:eastAsia="宋体" w:cs="Times New Roman Regular"/>
          <w:b w:val="0"/>
          <w:kern w:val="2"/>
          <w:sz w:val="21"/>
          <w:szCs w:val="21"/>
          <w:lang w:val="en-US" w:eastAsia="zh-CN"/>
        </w:rPr>
        <w:t>华能能源交通产业控股有限公司（华能集团物资供应中心）</w:t>
      </w:r>
      <w:r>
        <w:rPr>
          <w:rFonts w:hint="eastAsia" w:ascii="Times New Roman Regular" w:hAnsi="Times New Roman Regular" w:eastAsia="宋体" w:cs="Times New Roman Regular"/>
          <w:b w:val="0"/>
          <w:kern w:val="2"/>
          <w:sz w:val="21"/>
          <w:szCs w:val="21"/>
          <w:lang w:val="en-US" w:eastAsia="zh-CN"/>
        </w:rPr>
        <w:t>牵头，联合</w:t>
      </w:r>
      <w:r>
        <w:rPr>
          <w:rFonts w:hint="default" w:ascii="Times New Roman Regular" w:hAnsi="Times New Roman Regular" w:eastAsia="宋体" w:cs="Times New Roman Regular"/>
          <w:b w:val="0"/>
          <w:kern w:val="2"/>
          <w:sz w:val="21"/>
          <w:szCs w:val="21"/>
          <w:lang w:val="en-US" w:eastAsia="zh-CN"/>
        </w:rPr>
        <w:t>中国水利电力物资集团有限公司</w:t>
      </w:r>
      <w:r>
        <w:rPr>
          <w:rFonts w:hint="default" w:ascii="Times New Roman Regular" w:hAnsi="Times New Roman Regular" w:eastAsia="宋体" w:cs="Times New Roman Regular"/>
          <w:b w:val="0"/>
          <w:kern w:val="2"/>
          <w:sz w:val="21"/>
          <w:szCs w:val="21"/>
        </w:rPr>
        <w:t>、</w:t>
      </w:r>
      <w:r>
        <w:rPr>
          <w:rFonts w:hint="default" w:ascii="Times New Roman Regular" w:hAnsi="Times New Roman Regular" w:eastAsia="宋体" w:cs="Times New Roman Regular"/>
          <w:b w:val="0"/>
          <w:kern w:val="2"/>
          <w:sz w:val="21"/>
          <w:szCs w:val="21"/>
          <w:lang w:val="en-US" w:eastAsia="zh-CN"/>
        </w:rPr>
        <w:t>中国电能成套设备有限公司、中国华电集团物资有限公司、国家能源集团物资有限公司、中国水利电力物资上海有限公司、华电海南物资有限公司等</w:t>
      </w:r>
      <w:r>
        <w:rPr>
          <w:rFonts w:hint="default" w:ascii="Times New Roman Regular" w:hAnsi="Times New Roman Regular" w:eastAsia="宋体" w:cs="Times New Roman Regular"/>
          <w:b w:val="0"/>
          <w:kern w:val="2"/>
          <w:sz w:val="21"/>
          <w:szCs w:val="21"/>
        </w:rPr>
        <w:t>相关</w:t>
      </w:r>
      <w:r>
        <w:rPr>
          <w:rFonts w:hint="eastAsia" w:ascii="Times New Roman Regular" w:hAnsi="Times New Roman Regular" w:eastAsia="宋体" w:cs="Times New Roman Regular"/>
          <w:b w:val="0"/>
          <w:kern w:val="2"/>
          <w:sz w:val="21"/>
          <w:szCs w:val="21"/>
          <w:lang w:val="en-US" w:eastAsia="zh-CN"/>
        </w:rPr>
        <w:t>采购单位</w:t>
      </w:r>
      <w:r>
        <w:rPr>
          <w:rFonts w:hint="default" w:ascii="Times New Roman Regular" w:hAnsi="Times New Roman Regular" w:eastAsia="宋体" w:cs="Times New Roman Regular"/>
          <w:b w:val="0"/>
          <w:kern w:val="2"/>
          <w:sz w:val="21"/>
          <w:szCs w:val="21"/>
          <w:lang w:val="en-US" w:eastAsia="zh-CN"/>
        </w:rPr>
        <w:t>负责人</w:t>
      </w:r>
      <w:r>
        <w:rPr>
          <w:rFonts w:hint="eastAsia" w:ascii="Times New Roman Regular" w:hAnsi="Times New Roman Regular" w:eastAsia="宋体" w:cs="Times New Roman Regular"/>
          <w:b w:val="0"/>
          <w:kern w:val="2"/>
          <w:sz w:val="21"/>
          <w:szCs w:val="21"/>
          <w:lang w:val="en-US" w:eastAsia="zh-CN"/>
        </w:rPr>
        <w:t>举行</w:t>
      </w:r>
      <w:r>
        <w:rPr>
          <w:rFonts w:hint="default" w:ascii="Times New Roman Regular" w:hAnsi="Times New Roman Regular" w:eastAsia="宋体" w:cs="Times New Roman Regular"/>
          <w:b w:val="0"/>
          <w:kern w:val="2"/>
          <w:sz w:val="21"/>
          <w:szCs w:val="21"/>
          <w:lang w:val="en-US" w:eastAsia="zh-CN"/>
        </w:rPr>
        <w:t>标准座谈会，深入研讨采购技术标准项目编制的必要性和可行性。</w:t>
      </w:r>
    </w:p>
    <w:p w14:paraId="36FED088">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20" w:firstLineChars="200"/>
        <w:jc w:val="both"/>
        <w:textAlignment w:val="auto"/>
        <w:rPr>
          <w:rFonts w:hint="default"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lang w:val="en-US" w:eastAsia="zh-CN"/>
        </w:rPr>
        <w:t>2024年3月28—29日，在江苏省宜兴市召开</w:t>
      </w:r>
      <w:r>
        <w:rPr>
          <w:rFonts w:hint="default" w:ascii="Times New Roman Regular" w:hAnsi="Times New Roman Regular" w:eastAsia="宋体" w:cs="Times New Roman Regular"/>
          <w:b w:val="0"/>
          <w:sz w:val="21"/>
          <w:szCs w:val="21"/>
          <w:lang w:val="en-US" w:eastAsia="zh-CN"/>
        </w:rPr>
        <w:t>《发电企业电线电缆采购技术标准》编制研讨会，广泛征求</w:t>
      </w:r>
      <w:r>
        <w:rPr>
          <w:rFonts w:hint="default" w:ascii="Times New Roman Regular" w:hAnsi="Times New Roman Regular" w:eastAsia="宋体" w:cs="Times New Roman Regular"/>
          <w:b w:val="0"/>
          <w:sz w:val="21"/>
          <w:szCs w:val="21"/>
        </w:rPr>
        <w:t>业界专家意见</w:t>
      </w:r>
      <w:r>
        <w:rPr>
          <w:rFonts w:hint="default" w:ascii="Times New Roman Regular" w:hAnsi="Times New Roman Regular" w:eastAsia="宋体" w:cs="Times New Roman Regular"/>
          <w:b w:val="0"/>
          <w:sz w:val="21"/>
          <w:szCs w:val="21"/>
          <w:lang w:val="en-US" w:eastAsia="zh-CN"/>
        </w:rPr>
        <w:t>。</w:t>
      </w:r>
    </w:p>
    <w:p w14:paraId="441A6075">
      <w:pPr>
        <w:keepNext w:val="0"/>
        <w:keepLines w:val="0"/>
        <w:pageBreakBefore w:val="0"/>
        <w:numPr>
          <w:ilvl w:val="0"/>
          <w:numId w:val="9"/>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rPr>
      </w:pPr>
      <w:bookmarkStart w:id="58" w:name="_Toc10360"/>
      <w:bookmarkStart w:id="59" w:name="_Toc3351"/>
      <w:bookmarkStart w:id="60" w:name="_Toc1422865789"/>
      <w:bookmarkStart w:id="61" w:name="_Toc10961"/>
      <w:bookmarkStart w:id="62" w:name="_Toc4142"/>
      <w:bookmarkStart w:id="63" w:name="_Toc1822237342"/>
      <w:bookmarkStart w:id="64" w:name="_Toc25711"/>
      <w:r>
        <w:rPr>
          <w:rFonts w:hint="default" w:ascii="Times New Roman Regular" w:hAnsi="Times New Roman Regular" w:eastAsia="宋体" w:cs="Times New Roman Regular"/>
          <w:b/>
          <w:bCs/>
          <w:kern w:val="2"/>
          <w:sz w:val="21"/>
          <w:szCs w:val="21"/>
        </w:rPr>
        <w:t>立项阶段</w:t>
      </w:r>
      <w:bookmarkEnd w:id="58"/>
      <w:bookmarkEnd w:id="59"/>
      <w:bookmarkEnd w:id="60"/>
      <w:bookmarkEnd w:id="61"/>
      <w:bookmarkEnd w:id="62"/>
      <w:bookmarkEnd w:id="63"/>
      <w:bookmarkEnd w:id="64"/>
    </w:p>
    <w:p w14:paraId="72B27A9B">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20" w:firstLineChars="200"/>
        <w:jc w:val="both"/>
        <w:textAlignment w:val="auto"/>
        <w:rPr>
          <w:rFonts w:hint="default" w:ascii="Times New Roman Regular" w:hAnsi="Times New Roman Regular" w:eastAsia="宋体" w:cs="Times New Roman Regular"/>
          <w:b w:val="0"/>
          <w:sz w:val="21"/>
          <w:szCs w:val="21"/>
        </w:rPr>
      </w:pPr>
      <w:r>
        <w:rPr>
          <w:rFonts w:hint="default" w:ascii="Times New Roman Regular" w:hAnsi="Times New Roman Regular" w:eastAsia="宋体" w:cs="Times New Roman Regular"/>
          <w:b w:val="0"/>
          <w:sz w:val="21"/>
          <w:szCs w:val="21"/>
          <w:lang w:val="en-US" w:eastAsia="zh-CN"/>
        </w:rPr>
        <w:t>2024年</w:t>
      </w:r>
      <w:r>
        <w:rPr>
          <w:rFonts w:hint="eastAsia" w:ascii="Times New Roman Regular" w:hAnsi="Times New Roman Regular" w:eastAsia="宋体" w:cs="Times New Roman Regular"/>
          <w:b w:val="0"/>
          <w:sz w:val="21"/>
          <w:szCs w:val="21"/>
          <w:lang w:val="en-US" w:eastAsia="zh-CN"/>
        </w:rPr>
        <w:t>9</w:t>
      </w:r>
      <w:r>
        <w:rPr>
          <w:rFonts w:hint="default" w:ascii="Times New Roman Regular" w:hAnsi="Times New Roman Regular" w:eastAsia="宋体" w:cs="Times New Roman Regular"/>
          <w:b w:val="0"/>
          <w:sz w:val="21"/>
          <w:szCs w:val="21"/>
          <w:lang w:val="en-US" w:eastAsia="zh-CN"/>
        </w:rPr>
        <w:t>月</w:t>
      </w:r>
      <w:r>
        <w:rPr>
          <w:rFonts w:hint="eastAsia" w:ascii="Times New Roman Regular" w:hAnsi="Times New Roman Regular" w:eastAsia="宋体" w:cs="Times New Roman Regular"/>
          <w:b w:val="0"/>
          <w:sz w:val="21"/>
          <w:szCs w:val="21"/>
          <w:lang w:val="en-US" w:eastAsia="zh-CN"/>
        </w:rPr>
        <w:t>6</w:t>
      </w:r>
      <w:r>
        <w:rPr>
          <w:rFonts w:hint="default" w:ascii="Times New Roman Regular" w:hAnsi="Times New Roman Regular" w:eastAsia="宋体" w:cs="Times New Roman Regular"/>
          <w:b w:val="0"/>
          <w:sz w:val="21"/>
          <w:szCs w:val="21"/>
          <w:lang w:val="en-US" w:eastAsia="zh-CN"/>
        </w:rPr>
        <w:t>日，中国招标投标协会发布《发电企业电线电缆采购技术</w:t>
      </w:r>
      <w:r>
        <w:rPr>
          <w:rFonts w:hint="eastAsia" w:ascii="Times New Roman Regular" w:hAnsi="Times New Roman Regular" w:eastAsia="宋体" w:cs="Times New Roman Regular"/>
          <w:b w:val="0"/>
          <w:sz w:val="21"/>
          <w:szCs w:val="21"/>
          <w:lang w:val="en-US" w:eastAsia="zh-CN"/>
        </w:rPr>
        <w:t>规范 第15部分：</w:t>
      </w:r>
      <w:r>
        <w:rPr>
          <w:rFonts w:hint="eastAsia" w:ascii="Times New Roman Regular" w:hAnsi="Times New Roman Regular" w:eastAsia="宋体" w:cs="Times New Roman Regular"/>
          <w:b w:val="0"/>
          <w:bCs w:val="0"/>
          <w:sz w:val="21"/>
          <w:szCs w:val="21"/>
          <w:lang w:val="en-US" w:eastAsia="zh-CN"/>
        </w:rPr>
        <w:t>海底电力电缆（6</w:t>
      </w:r>
      <w:r>
        <w:rPr>
          <w:rFonts w:hint="eastAsia" w:ascii="Times New Roman Regular" w:hAnsi="Times New Roman Regular" w:eastAsia="宋体" w:cs="Times New Roman Regular"/>
          <w:b w:val="0"/>
          <w:bCs w:val="0"/>
          <w:sz w:val="10"/>
          <w:szCs w:val="10"/>
          <w:lang w:val="en-US" w:eastAsia="zh-CN"/>
        </w:rPr>
        <w:t xml:space="preserve"> </w:t>
      </w:r>
      <w:r>
        <w:rPr>
          <w:rFonts w:hint="eastAsia" w:ascii="Times New Roman Regular" w:hAnsi="Times New Roman Regular" w:eastAsia="宋体" w:cs="Times New Roman Regular"/>
          <w:b w:val="0"/>
          <w:bCs w:val="0"/>
          <w:sz w:val="21"/>
          <w:szCs w:val="21"/>
          <w:lang w:val="en-US" w:eastAsia="zh-CN"/>
        </w:rPr>
        <w:t>kV~35</w:t>
      </w:r>
      <w:r>
        <w:rPr>
          <w:rFonts w:hint="eastAsia" w:ascii="Times New Roman Regular" w:hAnsi="Times New Roman Regular" w:eastAsia="宋体" w:cs="Times New Roman Regular"/>
          <w:b w:val="0"/>
          <w:bCs w:val="0"/>
          <w:sz w:val="10"/>
          <w:szCs w:val="10"/>
          <w:lang w:val="en-US" w:eastAsia="zh-CN"/>
        </w:rPr>
        <w:t xml:space="preserve"> </w:t>
      </w:r>
      <w:r>
        <w:rPr>
          <w:rFonts w:hint="eastAsia" w:ascii="Times New Roman Regular" w:hAnsi="Times New Roman Regular" w:eastAsia="宋体" w:cs="Times New Roman Regular"/>
          <w:b w:val="0"/>
          <w:bCs w:val="0"/>
          <w:sz w:val="21"/>
          <w:szCs w:val="21"/>
          <w:lang w:val="en-US" w:eastAsia="zh-CN"/>
        </w:rPr>
        <w:t>kV）</w:t>
      </w:r>
      <w:r>
        <w:rPr>
          <w:rFonts w:hint="default" w:ascii="Times New Roman Regular" w:hAnsi="Times New Roman Regular" w:eastAsia="宋体" w:cs="Times New Roman Regular"/>
          <w:b w:val="0"/>
          <w:sz w:val="21"/>
          <w:szCs w:val="21"/>
          <w:lang w:val="en-US" w:eastAsia="zh-CN"/>
        </w:rPr>
        <w:t>》团体标准</w:t>
      </w:r>
      <w:r>
        <w:rPr>
          <w:rFonts w:hint="default" w:ascii="Times New Roman Regular" w:hAnsi="Times New Roman Regular" w:eastAsia="宋体" w:cs="Times New Roman Regular"/>
          <w:b w:val="0"/>
          <w:sz w:val="21"/>
          <w:szCs w:val="21"/>
        </w:rPr>
        <w:t>立项</w:t>
      </w:r>
      <w:r>
        <w:rPr>
          <w:rFonts w:hint="default" w:ascii="Times New Roman Regular" w:hAnsi="Times New Roman Regular" w:eastAsia="宋体" w:cs="Times New Roman Regular"/>
          <w:b w:val="0"/>
          <w:sz w:val="21"/>
          <w:szCs w:val="21"/>
          <w:lang w:val="en-US" w:eastAsia="zh-CN"/>
        </w:rPr>
        <w:t>公示，公示期为2024年</w:t>
      </w:r>
      <w:r>
        <w:rPr>
          <w:rFonts w:hint="eastAsia" w:ascii="Times New Roman Regular" w:hAnsi="Times New Roman Regular" w:eastAsia="宋体" w:cs="Times New Roman Regular"/>
          <w:b w:val="0"/>
          <w:sz w:val="21"/>
          <w:szCs w:val="21"/>
          <w:lang w:val="en-US" w:eastAsia="zh-CN"/>
        </w:rPr>
        <w:t>9</w:t>
      </w:r>
      <w:r>
        <w:rPr>
          <w:rFonts w:hint="default" w:ascii="Times New Roman Regular" w:hAnsi="Times New Roman Regular" w:eastAsia="宋体" w:cs="Times New Roman Regular"/>
          <w:b w:val="0"/>
          <w:sz w:val="21"/>
          <w:szCs w:val="21"/>
          <w:lang w:val="en-US" w:eastAsia="zh-CN"/>
        </w:rPr>
        <w:t>月</w:t>
      </w:r>
      <w:r>
        <w:rPr>
          <w:rFonts w:hint="eastAsia" w:ascii="Times New Roman Regular" w:hAnsi="Times New Roman Regular" w:eastAsia="宋体" w:cs="Times New Roman Regular"/>
          <w:b w:val="0"/>
          <w:sz w:val="21"/>
          <w:szCs w:val="21"/>
          <w:lang w:val="en-US" w:eastAsia="zh-CN"/>
        </w:rPr>
        <w:t>6</w:t>
      </w:r>
      <w:r>
        <w:rPr>
          <w:rFonts w:hint="default" w:ascii="Times New Roman Regular" w:hAnsi="Times New Roman Regular" w:eastAsia="宋体" w:cs="Times New Roman Regular"/>
          <w:b w:val="0"/>
          <w:sz w:val="21"/>
          <w:szCs w:val="21"/>
          <w:lang w:val="en-US" w:eastAsia="zh-CN"/>
        </w:rPr>
        <w:t>日至2024年</w:t>
      </w:r>
      <w:r>
        <w:rPr>
          <w:rFonts w:hint="eastAsia" w:ascii="Times New Roman Regular" w:hAnsi="Times New Roman Regular" w:eastAsia="宋体" w:cs="Times New Roman Regular"/>
          <w:b w:val="0"/>
          <w:sz w:val="21"/>
          <w:szCs w:val="21"/>
          <w:lang w:val="en-US" w:eastAsia="zh-CN"/>
        </w:rPr>
        <w:t>9</w:t>
      </w:r>
      <w:r>
        <w:rPr>
          <w:rFonts w:hint="default" w:ascii="Times New Roman Regular" w:hAnsi="Times New Roman Regular" w:eastAsia="宋体" w:cs="Times New Roman Regular"/>
          <w:b w:val="0"/>
          <w:sz w:val="21"/>
          <w:szCs w:val="21"/>
          <w:lang w:val="en-US" w:eastAsia="zh-CN"/>
        </w:rPr>
        <w:t>月</w:t>
      </w:r>
      <w:r>
        <w:rPr>
          <w:rFonts w:hint="eastAsia" w:ascii="Times New Roman Regular" w:hAnsi="Times New Roman Regular" w:eastAsia="宋体" w:cs="Times New Roman Regular"/>
          <w:b w:val="0"/>
          <w:sz w:val="21"/>
          <w:szCs w:val="21"/>
          <w:lang w:val="en-US" w:eastAsia="zh-CN"/>
        </w:rPr>
        <w:t>23</w:t>
      </w:r>
      <w:r>
        <w:rPr>
          <w:rFonts w:hint="default" w:ascii="Times New Roman Regular" w:hAnsi="Times New Roman Regular" w:eastAsia="宋体" w:cs="Times New Roman Regular"/>
          <w:b w:val="0"/>
          <w:sz w:val="21"/>
          <w:szCs w:val="21"/>
          <w:lang w:val="en-US" w:eastAsia="zh-CN"/>
        </w:rPr>
        <w:t>日</w:t>
      </w:r>
      <w:r>
        <w:rPr>
          <w:rFonts w:hint="default" w:ascii="Times New Roman Regular" w:hAnsi="Times New Roman Regular" w:eastAsia="宋体" w:cs="Times New Roman Regular"/>
          <w:b w:val="0"/>
          <w:sz w:val="21"/>
          <w:szCs w:val="21"/>
        </w:rPr>
        <w:t>。</w:t>
      </w:r>
    </w:p>
    <w:p w14:paraId="04AC55D1">
      <w:pPr>
        <w:keepNext w:val="0"/>
        <w:keepLines w:val="0"/>
        <w:pageBreakBefore w:val="0"/>
        <w:numPr>
          <w:ilvl w:val="0"/>
          <w:numId w:val="9"/>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rPr>
      </w:pPr>
      <w:bookmarkStart w:id="65" w:name="_Toc1078717127"/>
      <w:bookmarkStart w:id="66" w:name="_Toc1874906378"/>
      <w:bookmarkStart w:id="67" w:name="_Toc19751"/>
      <w:bookmarkStart w:id="68" w:name="_Toc13373"/>
      <w:bookmarkStart w:id="69" w:name="_Toc16113"/>
      <w:bookmarkStart w:id="70" w:name="_Toc24042"/>
      <w:bookmarkStart w:id="71" w:name="_Toc14673"/>
      <w:r>
        <w:rPr>
          <w:rFonts w:hint="default" w:ascii="Times New Roman Regular" w:hAnsi="Times New Roman Regular" w:eastAsia="宋体" w:cs="Times New Roman Regular"/>
          <w:b/>
          <w:bCs/>
          <w:kern w:val="2"/>
          <w:sz w:val="21"/>
          <w:szCs w:val="21"/>
          <w:lang w:val="en-US" w:eastAsia="zh-CN"/>
        </w:rPr>
        <w:t>起草阶段</w:t>
      </w:r>
      <w:bookmarkEnd w:id="65"/>
      <w:bookmarkEnd w:id="66"/>
      <w:bookmarkEnd w:id="67"/>
      <w:bookmarkEnd w:id="68"/>
      <w:bookmarkEnd w:id="69"/>
      <w:bookmarkEnd w:id="70"/>
      <w:bookmarkEnd w:id="71"/>
    </w:p>
    <w:p w14:paraId="5A6504FE">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rPr>
        <w:t>202</w:t>
      </w:r>
      <w:r>
        <w:rPr>
          <w:rFonts w:hint="default" w:ascii="Times New Roman Regular" w:hAnsi="Times New Roman Regular" w:eastAsia="宋体" w:cs="Times New Roman Regular"/>
          <w:b w:val="0"/>
          <w:kern w:val="2"/>
          <w:sz w:val="21"/>
          <w:szCs w:val="21"/>
          <w:lang w:val="en-US" w:eastAsia="zh-CN"/>
        </w:rPr>
        <w:t>4</w:t>
      </w:r>
      <w:r>
        <w:rPr>
          <w:rFonts w:hint="default" w:ascii="Times New Roman Regular" w:hAnsi="Times New Roman Regular" w:eastAsia="宋体" w:cs="Times New Roman Regular"/>
          <w:b w:val="0"/>
          <w:kern w:val="2"/>
          <w:sz w:val="21"/>
          <w:szCs w:val="21"/>
        </w:rPr>
        <w:t>年</w:t>
      </w:r>
      <w:r>
        <w:rPr>
          <w:rFonts w:hint="eastAsia" w:ascii="Times New Roman Regular" w:hAnsi="Times New Roman Regular" w:eastAsia="宋体" w:cs="Times New Roman Regular"/>
          <w:b w:val="0"/>
          <w:kern w:val="2"/>
          <w:sz w:val="21"/>
          <w:szCs w:val="21"/>
          <w:lang w:val="en-US" w:eastAsia="zh-CN"/>
        </w:rPr>
        <w:t>9</w:t>
      </w:r>
      <w:r>
        <w:rPr>
          <w:rFonts w:hint="default" w:ascii="Times New Roman Regular" w:hAnsi="Times New Roman Regular" w:eastAsia="宋体" w:cs="Times New Roman Regular"/>
          <w:b w:val="0"/>
          <w:kern w:val="2"/>
          <w:sz w:val="21"/>
          <w:szCs w:val="21"/>
        </w:rPr>
        <w:t>月</w:t>
      </w:r>
      <w:r>
        <w:rPr>
          <w:rFonts w:hint="eastAsia" w:ascii="Times New Roman Regular" w:hAnsi="Times New Roman Regular" w:eastAsia="宋体" w:cs="Times New Roman Regular"/>
          <w:b w:val="0"/>
          <w:kern w:val="2"/>
          <w:sz w:val="21"/>
          <w:szCs w:val="21"/>
          <w:lang w:val="en-US" w:eastAsia="zh-CN"/>
        </w:rPr>
        <w:t>至2025年8月，组织标准起草单位，开启标准编制工作，分工如下：</w:t>
      </w:r>
    </w:p>
    <w:tbl>
      <w:tblPr>
        <w:tblStyle w:val="19"/>
        <w:tblW w:w="4815" w:type="pct"/>
        <w:jc w:val="center"/>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7"/>
        <w:gridCol w:w="3489"/>
      </w:tblGrid>
      <w:tr w14:paraId="227569EC">
        <w:trPr>
          <w:trHeight w:val="498" w:hRule="atLeast"/>
          <w:tblHeader/>
          <w:jc w:val="center"/>
        </w:trPr>
        <w:tc>
          <w:tcPr>
            <w:tcW w:w="3107" w:type="pct"/>
            <w:tcBorders>
              <w:tl2br w:val="nil"/>
              <w:tr2bl w:val="nil"/>
            </w:tcBorders>
            <w:shd w:val="clear" w:color="auto" w:fill="auto"/>
            <w:noWrap/>
            <w:vAlign w:val="center"/>
          </w:tcPr>
          <w:p w14:paraId="487E0E31">
            <w:pPr>
              <w:keepNext w:val="0"/>
              <w:keepLines w:val="0"/>
              <w:widowControl/>
              <w:suppressLineNumbers w:val="0"/>
              <w:spacing w:before="0" w:beforeLines="0" w:beforeAutospacing="0" w:after="0" w:afterLines="0" w:afterAutospacing="0" w:line="288" w:lineRule="auto"/>
              <w:ind w:left="0" w:right="0"/>
              <w:jc w:val="center"/>
              <w:textAlignment w:val="center"/>
              <w:rPr>
                <w:rFonts w:hint="default" w:ascii="Times New Roman Regular" w:hAnsi="Times New Roman Regular" w:eastAsia="宋体" w:cs="Times New Roman Regular"/>
                <w:b w:val="0"/>
                <w:bCs w:val="0"/>
                <w:color w:val="000000"/>
                <w:sz w:val="18"/>
                <w:szCs w:val="18"/>
              </w:rPr>
            </w:pPr>
            <w:r>
              <w:rPr>
                <w:rFonts w:hint="default" w:ascii="Times New Roman Regular" w:hAnsi="Times New Roman Regular" w:eastAsia="宋体" w:cs="Times New Roman Regular"/>
                <w:b w:val="0"/>
                <w:bCs w:val="0"/>
                <w:color w:val="000000"/>
                <w:kern w:val="0"/>
                <w:sz w:val="18"/>
                <w:szCs w:val="18"/>
                <w:lang w:bidi="ar"/>
              </w:rPr>
              <w:t>单位</w:t>
            </w:r>
          </w:p>
        </w:tc>
        <w:tc>
          <w:tcPr>
            <w:tcW w:w="1892" w:type="pct"/>
            <w:tcBorders>
              <w:tl2br w:val="nil"/>
              <w:tr2bl w:val="nil"/>
            </w:tcBorders>
            <w:shd w:val="clear" w:color="auto" w:fill="auto"/>
            <w:noWrap/>
            <w:vAlign w:val="center"/>
          </w:tcPr>
          <w:p w14:paraId="6F6A82A6">
            <w:pPr>
              <w:keepNext w:val="0"/>
              <w:keepLines w:val="0"/>
              <w:widowControl/>
              <w:suppressLineNumbers w:val="0"/>
              <w:spacing w:before="0" w:beforeLines="0" w:beforeAutospacing="0" w:after="0" w:afterLines="0" w:afterAutospacing="0" w:line="288" w:lineRule="auto"/>
              <w:ind w:left="0" w:right="0"/>
              <w:jc w:val="center"/>
              <w:textAlignment w:val="center"/>
              <w:rPr>
                <w:rFonts w:hint="default" w:ascii="Times New Roman Regular" w:hAnsi="Times New Roman Regular" w:eastAsia="宋体" w:cs="Times New Roman Regular"/>
                <w:b w:val="0"/>
                <w:bCs w:val="0"/>
                <w:color w:val="000000"/>
                <w:sz w:val="18"/>
                <w:szCs w:val="18"/>
              </w:rPr>
            </w:pPr>
            <w:r>
              <w:rPr>
                <w:rFonts w:hint="default" w:ascii="Times New Roman Regular" w:hAnsi="Times New Roman Regular" w:eastAsia="宋体" w:cs="Times New Roman Regular"/>
                <w:b w:val="0"/>
                <w:bCs w:val="0"/>
                <w:color w:val="000000"/>
                <w:sz w:val="18"/>
                <w:szCs w:val="18"/>
              </w:rPr>
              <w:t>分工</w:t>
            </w:r>
          </w:p>
        </w:tc>
      </w:tr>
      <w:tr w14:paraId="202B0948">
        <w:trPr>
          <w:trHeight w:val="510" w:hRule="atLeast"/>
          <w:jc w:val="center"/>
        </w:trPr>
        <w:tc>
          <w:tcPr>
            <w:tcW w:w="3107" w:type="pct"/>
            <w:tcBorders>
              <w:tl2br w:val="nil"/>
              <w:tr2bl w:val="nil"/>
            </w:tcBorders>
            <w:shd w:val="clear" w:color="auto" w:fill="auto"/>
            <w:noWrap/>
            <w:vAlign w:val="center"/>
          </w:tcPr>
          <w:p w14:paraId="74C6E860">
            <w:pPr>
              <w:keepNext w:val="0"/>
              <w:keepLines w:val="0"/>
              <w:widowControl/>
              <w:suppressLineNumbers w:val="0"/>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华能能源交通产业控股有限公司（中国华能集团有限公司物资供应中心）</w:t>
            </w:r>
          </w:p>
        </w:tc>
        <w:tc>
          <w:tcPr>
            <w:tcW w:w="1892" w:type="pct"/>
            <w:tcBorders>
              <w:tl2br w:val="nil"/>
              <w:tr2bl w:val="nil"/>
            </w:tcBorders>
            <w:shd w:val="clear" w:color="auto" w:fill="auto"/>
            <w:noWrap/>
            <w:vAlign w:val="center"/>
          </w:tcPr>
          <w:p w14:paraId="0A815EBF">
            <w:pPr>
              <w:keepNext w:val="0"/>
              <w:keepLines w:val="0"/>
              <w:pageBreakBefore w:val="0"/>
              <w:widowControl/>
              <w:numPr>
                <w:ilvl w:val="0"/>
                <w:numId w:val="10"/>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auto"/>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b/>
                <w:bCs/>
                <w:sz w:val="18"/>
                <w:szCs w:val="18"/>
                <w:lang w:val="en-US" w:eastAsia="zh-CN"/>
              </w:rPr>
              <w:t>牵头编制初稿和审议</w:t>
            </w:r>
            <w:r>
              <w:rPr>
                <w:rFonts w:hint="default" w:ascii="Times New Roman Regular" w:hAnsi="Times New Roman Regular" w:eastAsia="宋体" w:cs="Times New Roman Regular"/>
                <w:b/>
                <w:bCs/>
                <w:sz w:val="18"/>
                <w:szCs w:val="18"/>
              </w:rPr>
              <w:t>。</w:t>
            </w:r>
          </w:p>
          <w:p w14:paraId="42964A1E">
            <w:pPr>
              <w:keepNext w:val="0"/>
              <w:keepLines w:val="0"/>
              <w:pageBreakBefore w:val="0"/>
              <w:widowControl/>
              <w:numPr>
                <w:ilvl w:val="0"/>
                <w:numId w:val="10"/>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auto"/>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lang w:val="en-US" w:eastAsia="zh-CN"/>
              </w:rPr>
              <w:t>提供电缆招投标技术要求指导</w:t>
            </w:r>
            <w:r>
              <w:rPr>
                <w:rFonts w:hint="default" w:ascii="Times New Roman Regular" w:hAnsi="Times New Roman Regular" w:eastAsia="宋体" w:cs="Times New Roman Regular"/>
                <w:sz w:val="18"/>
                <w:szCs w:val="18"/>
                <w:lang w:eastAsia="zh-CN"/>
              </w:rPr>
              <w:t>。</w:t>
            </w:r>
          </w:p>
        </w:tc>
      </w:tr>
      <w:tr w14:paraId="74A2CA96">
        <w:trPr>
          <w:trHeight w:val="510" w:hRule="atLeast"/>
          <w:jc w:val="center"/>
        </w:trPr>
        <w:tc>
          <w:tcPr>
            <w:tcW w:w="3107" w:type="pct"/>
            <w:tcBorders>
              <w:tl2br w:val="nil"/>
              <w:tr2bl w:val="nil"/>
            </w:tcBorders>
            <w:shd w:val="clear" w:color="auto" w:fill="auto"/>
            <w:noWrap/>
            <w:vAlign w:val="center"/>
          </w:tcPr>
          <w:p w14:paraId="1170AFED">
            <w:pPr>
              <w:keepNext w:val="0"/>
              <w:keepLines w:val="0"/>
              <w:widowControl/>
              <w:suppressLineNumbers w:val="0"/>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中国水利电力物资集团有限公司、中国华电集团物资有限公司、中国电能成套设备有限公司、国家能源集团物资有限公司、华能招标有限公司、中国水利电力物资上海有限公司、电能（北京）认证中心有限公司、华能能源交通产业控股有限公司北京分公司、华能泰山电力有限公司、华电海南物资有限公司、国能诚信招标有限公司、北京国电工程招标有限公司</w:t>
            </w:r>
          </w:p>
        </w:tc>
        <w:tc>
          <w:tcPr>
            <w:tcW w:w="1892" w:type="pct"/>
            <w:tcBorders>
              <w:tl2br w:val="nil"/>
              <w:tr2bl w:val="nil"/>
            </w:tcBorders>
            <w:shd w:val="clear" w:color="auto" w:fill="auto"/>
            <w:noWrap/>
            <w:vAlign w:val="center"/>
          </w:tcPr>
          <w:p w14:paraId="592630C5">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eastAsia="zh-CN"/>
              </w:rPr>
            </w:pPr>
            <w:r>
              <w:rPr>
                <w:rFonts w:hint="default" w:ascii="Times New Roman Regular" w:hAnsi="Times New Roman Regular" w:eastAsia="宋体" w:cs="Times New Roman Regular"/>
                <w:sz w:val="18"/>
                <w:szCs w:val="18"/>
              </w:rPr>
              <w:t>提供</w:t>
            </w:r>
            <w:r>
              <w:rPr>
                <w:rFonts w:hint="default" w:ascii="Times New Roman Regular" w:hAnsi="Times New Roman Regular" w:eastAsia="宋体" w:cs="Times New Roman Regular"/>
                <w:sz w:val="18"/>
                <w:szCs w:val="18"/>
                <w:lang w:val="en-US" w:eastAsia="zh-CN"/>
              </w:rPr>
              <w:t>电缆招投标技术要求指导</w:t>
            </w:r>
            <w:r>
              <w:rPr>
                <w:rFonts w:hint="default" w:ascii="Times New Roman Regular" w:hAnsi="Times New Roman Regular" w:eastAsia="宋体" w:cs="Times New Roman Regular"/>
                <w:sz w:val="18"/>
                <w:szCs w:val="18"/>
                <w:lang w:eastAsia="zh-CN"/>
              </w:rPr>
              <w:t>；</w:t>
            </w:r>
          </w:p>
          <w:p w14:paraId="7F20895A">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color w:val="000000"/>
                <w:kern w:val="0"/>
                <w:sz w:val="18"/>
                <w:szCs w:val="18"/>
                <w:lang w:val="en-US" w:eastAsia="zh-CN"/>
              </w:rPr>
            </w:pPr>
            <w:r>
              <w:rPr>
                <w:rFonts w:hint="default" w:ascii="Times New Roman Regular" w:hAnsi="Times New Roman Regular" w:eastAsia="宋体" w:cs="Times New Roman Regular"/>
                <w:sz w:val="18"/>
                <w:szCs w:val="18"/>
                <w:lang w:val="en-US" w:eastAsia="zh-CN"/>
              </w:rPr>
              <w:t>编制审议</w:t>
            </w:r>
            <w:r>
              <w:rPr>
                <w:rFonts w:hint="default" w:ascii="Times New Roman Regular" w:hAnsi="Times New Roman Regular" w:eastAsia="宋体" w:cs="Times New Roman Regular"/>
                <w:sz w:val="18"/>
                <w:szCs w:val="18"/>
              </w:rPr>
              <w:t>。</w:t>
            </w:r>
          </w:p>
        </w:tc>
      </w:tr>
      <w:tr w14:paraId="44D75400">
        <w:trPr>
          <w:trHeight w:val="510" w:hRule="atLeast"/>
          <w:jc w:val="center"/>
        </w:trPr>
        <w:tc>
          <w:tcPr>
            <w:tcW w:w="3107" w:type="pct"/>
            <w:tcBorders>
              <w:tl2br w:val="nil"/>
              <w:tr2bl w:val="nil"/>
            </w:tcBorders>
            <w:shd w:val="clear" w:color="auto" w:fill="auto"/>
            <w:noWrap/>
            <w:vAlign w:val="center"/>
          </w:tcPr>
          <w:p w14:paraId="1110C34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国网物资有限公司、南方电网供应链集团有限公司、内蒙古电力（集团）有限责任公司、中核（上海）供应链管理有限公司、三峡物资招标管理有限公司、中投咨询有限公司、华润电力投资有限公司、中国节能环保集团有限公司绿色供应链管理服务分公司、中国广核集团有限公司、中国广核新能源控股有限公司、南方电网供应链科技（广东）有限公司、长江三峡（成都）电子商务有限公司、中国能源建设集团电子商务有限公司、中国电建集团河南工程有限公司、焦作市宏亮电力技术咨询有限公司、中国安能建设集团有限公司、安能应急救援产业发展（北京）有限公司、中国石油物资有限公司、中石化国际事业北京有限公司、中国海洋石油集团有限公司、国家石油天然气管网集团有限公司、中国联合网络通信集团有限公司、上海宝华国际招标有限公司、鞍钢招标有限公司、五矿国际招标有限责任公司、中色国际贸易有限公司、中煤能源供应链管理（北京）有限责任公司、中煤招标有限责任公司、煤炭工业规划设计研究院有限公司（中国煤炭科工集团招标代理服务中心）、中煤一局集团有限公司、中国兵工物资集团有限公司、中技国际招标有限公司、中建电子商务有限责任公司、中国交通进出口有限公司、中国盐业集团有限公司物资分公司、中建材卓材科技（北京）有限公司（中国建材集团采购交易中心）、中交（厦门）电子商务有限公司、中交机电局工程有限公司、内蒙古能源集团有限公司、北京京能招标集采中心有限责任公司、山东能源集团有限公司、江苏省国信集团有限公司、安徽省新能创业投资有限责任公司、北京城市轨道交通咨询有限公司、包头市必得招标有限公司、淮北矿业股份有限公司物资分公司、江苏省招标中心有限公司、安徽省招标集团股份有限公司</w:t>
            </w:r>
          </w:p>
        </w:tc>
        <w:tc>
          <w:tcPr>
            <w:tcW w:w="1892" w:type="pct"/>
            <w:tcBorders>
              <w:tl2br w:val="nil"/>
              <w:tr2bl w:val="nil"/>
            </w:tcBorders>
            <w:shd w:val="clear" w:color="auto" w:fill="auto"/>
            <w:noWrap/>
            <w:vAlign w:val="center"/>
          </w:tcPr>
          <w:p w14:paraId="70D0361D">
            <w:pPr>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color w:val="000000"/>
                <w:kern w:val="0"/>
                <w:sz w:val="18"/>
                <w:szCs w:val="18"/>
                <w:lang w:val="en-US" w:eastAsia="zh-CN"/>
              </w:rPr>
            </w:pPr>
            <w:r>
              <w:rPr>
                <w:rFonts w:hint="default" w:ascii="Times New Roman Regular" w:hAnsi="Times New Roman Regular" w:eastAsia="宋体" w:cs="Times New Roman Regular"/>
                <w:sz w:val="18"/>
                <w:szCs w:val="18"/>
                <w:lang w:val="en-US" w:eastAsia="zh-CN"/>
              </w:rPr>
              <w:t>提供技术内容指导；</w:t>
            </w:r>
          </w:p>
          <w:p w14:paraId="4F97B80E">
            <w:pPr>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编制审议</w:t>
            </w:r>
            <w:r>
              <w:rPr>
                <w:rFonts w:hint="default" w:ascii="Times New Roman Regular" w:hAnsi="Times New Roman Regular" w:eastAsia="宋体" w:cs="Times New Roman Regular"/>
                <w:sz w:val="18"/>
                <w:szCs w:val="18"/>
              </w:rPr>
              <w:t>。</w:t>
            </w:r>
          </w:p>
        </w:tc>
      </w:tr>
      <w:tr w14:paraId="1ABE3678">
        <w:trPr>
          <w:trHeight w:val="510" w:hRule="atLeast"/>
          <w:jc w:val="center"/>
        </w:trPr>
        <w:tc>
          <w:tcPr>
            <w:tcW w:w="3107" w:type="pct"/>
            <w:tcBorders>
              <w:tl2br w:val="nil"/>
              <w:tr2bl w:val="nil"/>
            </w:tcBorders>
            <w:shd w:val="clear" w:color="auto" w:fill="auto"/>
            <w:noWrap/>
            <w:vAlign w:val="center"/>
          </w:tcPr>
          <w:p w14:paraId="5FCB8E04">
            <w:pPr>
              <w:keepNext w:val="0"/>
              <w:keepLines w:val="0"/>
              <w:pageBreakBefore w:val="0"/>
              <w:widowControl/>
              <w:suppressLineNumbers w:val="0"/>
              <w:kinsoku/>
              <w:wordWrap/>
              <w:overflowPunct/>
              <w:topLinePunct w:val="0"/>
              <w:autoSpaceDE/>
              <w:autoSpaceDN/>
              <w:bidi w:val="0"/>
              <w:adjustRightInd/>
              <w:snapToGrid/>
              <w:spacing w:before="79" w:beforeLines="25" w:beforeAutospacing="0" w:after="79" w:afterLines="25"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rPr>
              <w:t>中国电力工程顾问集团西南电力设计院有限公司、中国电力工程顾问集团东北电力设计院有限公司、中国能源建设集团江苏省电力设计院有限公司、中国能源建设集团安徽省电力设计院有限公司、中国能源建设集团云南省电力设计院有限公司、中国能源建设集团广东省电力设计研究院有限公司、中国电建集团华东勘测设计研究院有限公司、中国电建集团北京勘测设计研究院有限公司、中国电建集团河南省电力勘测设计院有限公司、四川电力设计咨询有限责任公司、国核电力规划设计研究院有限公司、龙源（北京）新能源工程设计研究院有限公司、上海勘测设计研究院有限公司、中水东北勘测设计研究有限责任公司、深圳市建筑设计研究总院有限公司、安徽省城建设计研究总院股份有限公司、合肥工业大学设计院（集团）有限公司、华信咨询设计研究院有限公司</w:t>
            </w:r>
          </w:p>
        </w:tc>
        <w:tc>
          <w:tcPr>
            <w:tcW w:w="1892" w:type="pct"/>
            <w:tcBorders>
              <w:tl2br w:val="nil"/>
              <w:tr2bl w:val="nil"/>
            </w:tcBorders>
            <w:shd w:val="clear" w:color="auto" w:fill="auto"/>
            <w:noWrap/>
            <w:vAlign w:val="center"/>
          </w:tcPr>
          <w:p w14:paraId="278B44B0">
            <w:pPr>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提供技术内容指导；</w:t>
            </w:r>
          </w:p>
          <w:p w14:paraId="5C84699C">
            <w:pPr>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编制审议</w:t>
            </w:r>
            <w:r>
              <w:rPr>
                <w:rFonts w:hint="default" w:ascii="Times New Roman Regular" w:hAnsi="Times New Roman Regular" w:eastAsia="宋体" w:cs="Times New Roman Regular"/>
                <w:sz w:val="18"/>
                <w:szCs w:val="18"/>
              </w:rPr>
              <w:t>。</w:t>
            </w:r>
          </w:p>
        </w:tc>
      </w:tr>
      <w:tr w14:paraId="3F4D880E">
        <w:trPr>
          <w:trHeight w:val="510" w:hRule="atLeast"/>
          <w:jc w:val="center"/>
        </w:trPr>
        <w:tc>
          <w:tcPr>
            <w:tcW w:w="3107" w:type="pct"/>
            <w:tcBorders>
              <w:tl2br w:val="nil"/>
              <w:tr2bl w:val="nil"/>
            </w:tcBorders>
            <w:shd w:val="clear" w:color="auto" w:fill="auto"/>
            <w:noWrap/>
            <w:vAlign w:val="center"/>
          </w:tcPr>
          <w:p w14:paraId="29BF835E">
            <w:pPr>
              <w:keepNext w:val="0"/>
              <w:keepLines w:val="0"/>
              <w:pageBreakBefore w:val="0"/>
              <w:widowControl/>
              <w:suppressLineNumbers w:val="0"/>
              <w:kinsoku/>
              <w:wordWrap/>
              <w:overflowPunct/>
              <w:topLinePunct w:val="0"/>
              <w:autoSpaceDE/>
              <w:autoSpaceDN/>
              <w:bidi w:val="0"/>
              <w:adjustRightInd/>
              <w:snapToGrid/>
              <w:spacing w:before="79" w:beforeLines="25" w:beforeAutospacing="0" w:after="79" w:afterLines="25"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国信云联数据科技股份有限公司、中国质量认证中心有限公司、武汉检验检测认证发展集团有限公司[国家电线电缆产品质量检验检测中心（武汉）]、安徽宇测技术有限公司[国家特种电线电缆产品质量检验检测中心（安徽）]、中正智信检验认证股份有限公司、莱茵检测认证服务（中国）有限公司、北京佰策邦信息科技有限公司</w:t>
            </w:r>
          </w:p>
        </w:tc>
        <w:tc>
          <w:tcPr>
            <w:tcW w:w="1892" w:type="pct"/>
            <w:tcBorders>
              <w:tl2br w:val="nil"/>
              <w:tr2bl w:val="nil"/>
            </w:tcBorders>
            <w:shd w:val="clear" w:color="auto" w:fill="auto"/>
            <w:noWrap/>
            <w:vAlign w:val="center"/>
          </w:tcPr>
          <w:p w14:paraId="792E461B">
            <w:pPr>
              <w:keepNext w:val="0"/>
              <w:keepLines w:val="0"/>
              <w:pageBreakBefore w:val="0"/>
              <w:widowControl/>
              <w:numPr>
                <w:ilvl w:val="0"/>
                <w:numId w:val="14"/>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color w:val="000000"/>
                <w:sz w:val="18"/>
                <w:szCs w:val="18"/>
                <w:lang w:val="en-US" w:eastAsia="zh-CN"/>
              </w:rPr>
            </w:pPr>
            <w:r>
              <w:rPr>
                <w:rFonts w:hint="default" w:ascii="Times New Roman Regular" w:hAnsi="Times New Roman Regular" w:eastAsia="宋体" w:cs="Times New Roman Regular"/>
                <w:color w:val="000000"/>
                <w:sz w:val="18"/>
                <w:szCs w:val="18"/>
              </w:rPr>
              <w:t>归纳</w:t>
            </w:r>
            <w:r>
              <w:rPr>
                <w:rFonts w:hint="default" w:ascii="Times New Roman Regular" w:hAnsi="Times New Roman Regular" w:eastAsia="宋体" w:cs="Times New Roman Regular"/>
                <w:color w:val="000000"/>
                <w:sz w:val="18"/>
                <w:szCs w:val="18"/>
                <w:lang w:eastAsia="zh-CN"/>
              </w:rPr>
              <w:t>、</w:t>
            </w:r>
            <w:r>
              <w:rPr>
                <w:rFonts w:hint="default" w:ascii="Times New Roman Regular" w:hAnsi="Times New Roman Regular" w:eastAsia="宋体" w:cs="Times New Roman Regular"/>
                <w:color w:val="000000"/>
                <w:sz w:val="18"/>
                <w:szCs w:val="18"/>
                <w:lang w:val="en-US" w:eastAsia="zh-CN"/>
              </w:rPr>
              <w:t>总结意见和建议；</w:t>
            </w:r>
          </w:p>
          <w:p w14:paraId="0CB86FF6">
            <w:pPr>
              <w:keepNext w:val="0"/>
              <w:keepLines w:val="0"/>
              <w:pageBreakBefore w:val="0"/>
              <w:widowControl/>
              <w:numPr>
                <w:ilvl w:val="0"/>
                <w:numId w:val="14"/>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color w:val="000000"/>
                <w:kern w:val="0"/>
                <w:sz w:val="18"/>
                <w:szCs w:val="18"/>
              </w:rPr>
            </w:pPr>
            <w:r>
              <w:rPr>
                <w:rFonts w:hint="default" w:ascii="Times New Roman Regular" w:hAnsi="Times New Roman Regular" w:eastAsia="宋体" w:cs="Times New Roman Regular"/>
                <w:sz w:val="18"/>
                <w:szCs w:val="18"/>
                <w:lang w:val="en-US" w:eastAsia="zh-CN"/>
              </w:rPr>
              <w:t>编制审议</w:t>
            </w:r>
            <w:r>
              <w:rPr>
                <w:rFonts w:hint="default" w:ascii="Times New Roman Regular" w:hAnsi="Times New Roman Regular" w:eastAsia="宋体" w:cs="Times New Roman Regular"/>
                <w:sz w:val="18"/>
                <w:szCs w:val="18"/>
              </w:rPr>
              <w:t>。</w:t>
            </w:r>
          </w:p>
        </w:tc>
      </w:tr>
    </w:tbl>
    <w:p w14:paraId="77E6EDBA">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2"/>
          <w:sz w:val="21"/>
          <w:szCs w:val="21"/>
          <w:lang w:val="en-US" w:eastAsia="zh-CN"/>
        </w:rPr>
        <w:t>2024年</w:t>
      </w:r>
      <w:r>
        <w:rPr>
          <w:rFonts w:hint="eastAsia" w:ascii="Times New Roman Regular" w:hAnsi="Times New Roman Regular" w:eastAsia="宋体" w:cs="Times New Roman Regular"/>
          <w:kern w:val="2"/>
          <w:sz w:val="21"/>
          <w:szCs w:val="21"/>
          <w:lang w:val="en-US" w:eastAsia="zh-CN"/>
        </w:rPr>
        <w:t>9</w:t>
      </w:r>
      <w:r>
        <w:rPr>
          <w:rFonts w:hint="default" w:ascii="Times New Roman Regular" w:hAnsi="Times New Roman Regular" w:eastAsia="宋体" w:cs="Times New Roman Regular"/>
          <w:kern w:val="2"/>
          <w:sz w:val="21"/>
          <w:szCs w:val="21"/>
          <w:lang w:val="en-US" w:eastAsia="zh-CN"/>
        </w:rPr>
        <w:t>月</w:t>
      </w:r>
      <w:r>
        <w:rPr>
          <w:rFonts w:hint="eastAsia" w:ascii="Times New Roman Regular" w:hAnsi="Times New Roman Regular" w:eastAsia="宋体" w:cs="Times New Roman Regular"/>
          <w:kern w:val="2"/>
          <w:sz w:val="21"/>
          <w:szCs w:val="21"/>
          <w:lang w:val="en-US" w:eastAsia="zh-CN"/>
        </w:rPr>
        <w:t>至2025年4月</w:t>
      </w:r>
      <w:r>
        <w:rPr>
          <w:rFonts w:hint="default" w:ascii="Times New Roman Regular" w:hAnsi="Times New Roman Regular" w:eastAsia="宋体" w:cs="Times New Roman Regular"/>
          <w:kern w:val="2"/>
          <w:sz w:val="21"/>
          <w:szCs w:val="21"/>
        </w:rPr>
        <w:t>，</w:t>
      </w:r>
      <w:r>
        <w:rPr>
          <w:rFonts w:hint="default" w:ascii="Times New Roman Regular" w:hAnsi="Times New Roman Regular" w:eastAsia="宋体" w:cs="Times New Roman Regular"/>
          <w:kern w:val="2"/>
          <w:sz w:val="21"/>
          <w:szCs w:val="21"/>
          <w:lang w:val="en-US" w:eastAsia="zh-CN"/>
        </w:rPr>
        <w:t>根据五大发电集团、设计院、制造企业和检测机构等单位</w:t>
      </w:r>
      <w:r>
        <w:rPr>
          <w:rFonts w:hint="default" w:ascii="Times New Roman Regular" w:hAnsi="Times New Roman Regular" w:eastAsia="宋体" w:cs="Times New Roman Regular"/>
          <w:kern w:val="2"/>
          <w:sz w:val="21"/>
          <w:szCs w:val="21"/>
        </w:rPr>
        <w:t>调研反馈结果</w:t>
      </w:r>
      <w:r>
        <w:rPr>
          <w:rFonts w:hint="default" w:ascii="Times New Roman Regular" w:hAnsi="Times New Roman Regular" w:eastAsia="宋体" w:cs="Times New Roman Regular"/>
          <w:sz w:val="21"/>
          <w:szCs w:val="21"/>
        </w:rPr>
        <w:t>，</w:t>
      </w:r>
      <w:bookmarkStart w:id="72" w:name="_Hlk135919098"/>
      <w:r>
        <w:rPr>
          <w:rFonts w:hint="default" w:ascii="Times New Roman Regular" w:hAnsi="Times New Roman Regular" w:eastAsia="宋体" w:cs="Times New Roman Regular"/>
          <w:sz w:val="21"/>
          <w:szCs w:val="21"/>
        </w:rPr>
        <w:t>对</w:t>
      </w:r>
      <w:r>
        <w:rPr>
          <w:rFonts w:hint="eastAsia" w:ascii="Times New Roman Regular" w:hAnsi="Times New Roman Regular" w:eastAsia="宋体" w:cs="Times New Roman Regular"/>
          <w:sz w:val="21"/>
          <w:szCs w:val="21"/>
          <w:lang w:val="en-US" w:eastAsia="zh-CN"/>
        </w:rPr>
        <w:t>海底电力电缆</w:t>
      </w:r>
      <w:r>
        <w:rPr>
          <w:rFonts w:hint="default" w:ascii="Times New Roman Regular" w:hAnsi="Times New Roman Regular" w:eastAsia="宋体" w:cs="Times New Roman Regular"/>
          <w:sz w:val="21"/>
          <w:szCs w:val="21"/>
          <w:lang w:val="en-US" w:eastAsia="zh-CN"/>
        </w:rPr>
        <w:t>招投标</w:t>
      </w:r>
      <w:r>
        <w:rPr>
          <w:rFonts w:hint="default" w:ascii="Times New Roman Regular" w:hAnsi="Times New Roman Regular" w:eastAsia="宋体" w:cs="Times New Roman Regular"/>
          <w:sz w:val="21"/>
          <w:szCs w:val="21"/>
        </w:rPr>
        <w:t>应具备的一般要求、技术要求、</w:t>
      </w:r>
      <w:r>
        <w:rPr>
          <w:rFonts w:hint="default" w:ascii="Times New Roman Regular" w:hAnsi="Times New Roman Regular" w:eastAsia="宋体" w:cs="Times New Roman Regular"/>
          <w:sz w:val="21"/>
          <w:szCs w:val="21"/>
          <w:lang w:val="en-US" w:eastAsia="zh-CN"/>
        </w:rPr>
        <w:t>特殊</w:t>
      </w:r>
      <w:r>
        <w:rPr>
          <w:rFonts w:hint="default" w:ascii="Times New Roman Regular" w:hAnsi="Times New Roman Regular" w:eastAsia="宋体" w:cs="Times New Roman Regular"/>
          <w:sz w:val="21"/>
          <w:szCs w:val="21"/>
        </w:rPr>
        <w:t>要求进行归纳，完成</w:t>
      </w:r>
      <w:r>
        <w:rPr>
          <w:rFonts w:hint="eastAsia" w:ascii="Times New Roman Regular" w:hAnsi="Times New Roman Regular" w:eastAsia="宋体" w:cs="Times New Roman Regular"/>
          <w:sz w:val="21"/>
          <w:szCs w:val="21"/>
          <w:lang w:eastAsia="zh-CN"/>
        </w:rPr>
        <w:t>《</w:t>
      </w:r>
      <w:r>
        <w:rPr>
          <w:rFonts w:hint="eastAsia" w:ascii="Times New Roman Regular" w:hAnsi="Times New Roman Regular" w:eastAsia="宋体" w:cs="Times New Roman Regular"/>
          <w:sz w:val="21"/>
          <w:szCs w:val="21"/>
          <w:lang w:val="en-US" w:eastAsia="zh-CN"/>
        </w:rPr>
        <w:t>工作组讨论稿》（V1.0）</w:t>
      </w:r>
      <w:r>
        <w:rPr>
          <w:rFonts w:hint="default" w:ascii="Times New Roman Regular" w:hAnsi="Times New Roman Regular" w:eastAsia="宋体" w:cs="Times New Roman Regular"/>
          <w:sz w:val="21"/>
          <w:szCs w:val="21"/>
        </w:rPr>
        <w:t>。</w:t>
      </w:r>
    </w:p>
    <w:bookmarkEnd w:id="72"/>
    <w:p w14:paraId="7D706CBE">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eastAsia"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rPr>
        <w:t>202</w:t>
      </w:r>
      <w:r>
        <w:rPr>
          <w:rFonts w:hint="eastAsia" w:ascii="Times New Roman Regular" w:hAnsi="Times New Roman Regular" w:eastAsia="宋体" w:cs="Times New Roman Regular"/>
          <w:b w:val="0"/>
          <w:kern w:val="2"/>
          <w:sz w:val="21"/>
          <w:szCs w:val="21"/>
          <w:lang w:val="en-US" w:eastAsia="zh-CN"/>
        </w:rPr>
        <w:t>5</w:t>
      </w:r>
      <w:r>
        <w:rPr>
          <w:rFonts w:hint="default" w:ascii="Times New Roman Regular" w:hAnsi="Times New Roman Regular" w:eastAsia="宋体" w:cs="Times New Roman Regular"/>
          <w:b w:val="0"/>
          <w:kern w:val="2"/>
          <w:sz w:val="21"/>
          <w:szCs w:val="21"/>
        </w:rPr>
        <w:t>年</w:t>
      </w:r>
      <w:r>
        <w:rPr>
          <w:rFonts w:hint="eastAsia" w:ascii="Times New Roman Regular" w:hAnsi="Times New Roman Regular" w:eastAsia="宋体" w:cs="Times New Roman Regular"/>
          <w:b w:val="0"/>
          <w:kern w:val="2"/>
          <w:sz w:val="21"/>
          <w:szCs w:val="21"/>
          <w:lang w:val="en-US" w:eastAsia="zh-CN"/>
        </w:rPr>
        <w:t>4</w:t>
      </w:r>
      <w:r>
        <w:rPr>
          <w:rFonts w:hint="default" w:ascii="Times New Roman Regular" w:hAnsi="Times New Roman Regular" w:eastAsia="宋体" w:cs="Times New Roman Regular"/>
          <w:b w:val="0"/>
          <w:kern w:val="2"/>
          <w:sz w:val="21"/>
          <w:szCs w:val="21"/>
        </w:rPr>
        <w:t>月</w:t>
      </w:r>
      <w:r>
        <w:rPr>
          <w:rFonts w:hint="eastAsia" w:ascii="Times New Roman Regular" w:hAnsi="Times New Roman Regular" w:eastAsia="宋体" w:cs="Times New Roman Regular"/>
          <w:b w:val="0"/>
          <w:kern w:val="2"/>
          <w:sz w:val="21"/>
          <w:szCs w:val="21"/>
          <w:lang w:val="en-US" w:eastAsia="zh-CN"/>
        </w:rPr>
        <w:t>17日，召开第一次编制工作会，审议《工作组讨论稿》</w:t>
      </w:r>
      <w:r>
        <w:rPr>
          <w:rFonts w:hint="eastAsia" w:ascii="Times New Roman Regular" w:hAnsi="Times New Roman Regular" w:eastAsia="宋体" w:cs="Times New Roman Regular"/>
          <w:sz w:val="21"/>
          <w:szCs w:val="21"/>
          <w:lang w:val="en-US" w:eastAsia="zh-CN"/>
        </w:rPr>
        <w:t>（V1.0）</w:t>
      </w:r>
      <w:r>
        <w:rPr>
          <w:rFonts w:hint="eastAsia" w:ascii="Times New Roman Regular" w:hAnsi="Times New Roman Regular" w:eastAsia="宋体" w:cs="Times New Roman Regular"/>
          <w:b w:val="0"/>
          <w:kern w:val="2"/>
          <w:sz w:val="21"/>
          <w:szCs w:val="21"/>
          <w:lang w:val="en-US" w:eastAsia="zh-CN"/>
        </w:rPr>
        <w:t>。</w:t>
      </w:r>
    </w:p>
    <w:p w14:paraId="73ADC946">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kern w:val="2"/>
          <w:sz w:val="21"/>
          <w:szCs w:val="21"/>
        </w:rPr>
      </w:pPr>
      <w:r>
        <w:rPr>
          <w:rFonts w:hint="default" w:ascii="Times New Roman Regular" w:hAnsi="Times New Roman Regular" w:eastAsia="宋体" w:cs="Times New Roman Regular"/>
          <w:kern w:val="2"/>
          <w:sz w:val="21"/>
          <w:szCs w:val="21"/>
        </w:rPr>
        <w:t>202</w:t>
      </w:r>
      <w:r>
        <w:rPr>
          <w:rFonts w:hint="eastAsia" w:ascii="Times New Roman Regular" w:hAnsi="Times New Roman Regular" w:eastAsia="宋体" w:cs="Times New Roman Regular"/>
          <w:kern w:val="2"/>
          <w:sz w:val="21"/>
          <w:szCs w:val="21"/>
          <w:lang w:val="en-US" w:eastAsia="zh-CN"/>
        </w:rPr>
        <w:t>5</w:t>
      </w:r>
      <w:r>
        <w:rPr>
          <w:rFonts w:hint="default" w:ascii="Times New Roman Regular" w:hAnsi="Times New Roman Regular" w:eastAsia="宋体" w:cs="Times New Roman Regular"/>
          <w:kern w:val="2"/>
          <w:sz w:val="21"/>
          <w:szCs w:val="21"/>
        </w:rPr>
        <w:t>年</w:t>
      </w:r>
      <w:r>
        <w:rPr>
          <w:rFonts w:hint="eastAsia" w:ascii="Times New Roman Regular" w:hAnsi="Times New Roman Regular" w:eastAsia="宋体" w:cs="Times New Roman Regular"/>
          <w:kern w:val="2"/>
          <w:sz w:val="21"/>
          <w:szCs w:val="21"/>
          <w:lang w:val="en-US" w:eastAsia="zh-CN"/>
        </w:rPr>
        <w:t>5月—2025年6</w:t>
      </w:r>
      <w:r>
        <w:rPr>
          <w:rFonts w:hint="default" w:ascii="Times New Roman Regular" w:hAnsi="Times New Roman Regular" w:eastAsia="宋体" w:cs="Times New Roman Regular"/>
          <w:kern w:val="2"/>
          <w:sz w:val="21"/>
          <w:szCs w:val="21"/>
        </w:rPr>
        <w:t>月，</w:t>
      </w:r>
      <w:r>
        <w:rPr>
          <w:rFonts w:hint="default" w:ascii="Times New Roman Regular" w:hAnsi="Times New Roman Regular" w:eastAsia="宋体" w:cs="Times New Roman Regular"/>
          <w:kern w:val="2"/>
          <w:sz w:val="21"/>
          <w:szCs w:val="21"/>
          <w:lang w:val="en-US" w:eastAsia="zh-CN"/>
        </w:rPr>
        <w:t>编制组根据第一次编制工作会意见进行修订</w:t>
      </w:r>
      <w:r>
        <w:rPr>
          <w:rFonts w:hint="default" w:ascii="Times New Roman Regular" w:hAnsi="Times New Roman Regular" w:eastAsia="宋体" w:cs="Times New Roman Regular"/>
          <w:kern w:val="2"/>
          <w:sz w:val="21"/>
          <w:szCs w:val="21"/>
        </w:rPr>
        <w:t>，</w:t>
      </w:r>
      <w:r>
        <w:rPr>
          <w:rFonts w:hint="default" w:ascii="Times New Roman Regular" w:hAnsi="Times New Roman Regular" w:eastAsia="宋体" w:cs="Times New Roman Regular"/>
          <w:kern w:val="2"/>
          <w:sz w:val="21"/>
          <w:szCs w:val="21"/>
          <w:lang w:val="en-US" w:eastAsia="zh-CN"/>
        </w:rPr>
        <w:t>形成</w:t>
      </w:r>
      <w:r>
        <w:rPr>
          <w:rFonts w:hint="default" w:ascii="Times New Roman Regular" w:hAnsi="Times New Roman Regular" w:eastAsia="宋体" w:cs="Times New Roman Regular"/>
          <w:sz w:val="21"/>
          <w:szCs w:val="21"/>
          <w:lang w:eastAsia="zh-CN"/>
        </w:rPr>
        <w:t>《</w:t>
      </w:r>
      <w:r>
        <w:rPr>
          <w:rFonts w:hint="eastAsia" w:ascii="Times New Roman Regular" w:hAnsi="Times New Roman Regular" w:eastAsia="宋体" w:cs="Times New Roman Regular"/>
          <w:sz w:val="21"/>
          <w:szCs w:val="21"/>
          <w:lang w:val="en-US" w:eastAsia="zh-CN"/>
        </w:rPr>
        <w:t>工作组讨论稿</w:t>
      </w:r>
      <w:r>
        <w:rPr>
          <w:rFonts w:hint="default" w:ascii="Times New Roman Regular" w:hAnsi="Times New Roman Regular" w:eastAsia="宋体" w:cs="Times New Roman Regular"/>
          <w:sz w:val="21"/>
          <w:szCs w:val="21"/>
          <w:lang w:val="en-US" w:eastAsia="zh-CN"/>
        </w:rPr>
        <w:t>》</w:t>
      </w:r>
      <w:r>
        <w:rPr>
          <w:rFonts w:hint="eastAsia" w:ascii="Times New Roman Regular" w:hAnsi="Times New Roman Regular" w:eastAsia="宋体" w:cs="Times New Roman Regular"/>
          <w:sz w:val="21"/>
          <w:szCs w:val="21"/>
          <w:lang w:val="en-US" w:eastAsia="zh-CN"/>
        </w:rPr>
        <w:t>（V2.0）</w:t>
      </w:r>
      <w:r>
        <w:rPr>
          <w:rFonts w:hint="default" w:ascii="Times New Roman Regular" w:hAnsi="Times New Roman Regular" w:eastAsia="宋体" w:cs="Times New Roman Regular"/>
          <w:kern w:val="2"/>
          <w:sz w:val="21"/>
          <w:szCs w:val="21"/>
        </w:rPr>
        <w:t>。</w:t>
      </w:r>
    </w:p>
    <w:p w14:paraId="346B29AA">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kern w:val="2"/>
          <w:sz w:val="21"/>
          <w:szCs w:val="21"/>
        </w:rPr>
        <w:t>202</w:t>
      </w:r>
      <w:r>
        <w:rPr>
          <w:rFonts w:hint="eastAsia" w:ascii="Times New Roman Regular" w:hAnsi="Times New Roman Regular" w:eastAsia="宋体" w:cs="Times New Roman Regular"/>
          <w:kern w:val="2"/>
          <w:sz w:val="21"/>
          <w:szCs w:val="21"/>
          <w:lang w:val="en-US" w:eastAsia="zh-CN"/>
        </w:rPr>
        <w:t>5</w:t>
      </w:r>
      <w:r>
        <w:rPr>
          <w:rFonts w:hint="default" w:ascii="Times New Roman Regular" w:hAnsi="Times New Roman Regular" w:eastAsia="宋体" w:cs="Times New Roman Regular"/>
          <w:kern w:val="2"/>
          <w:sz w:val="21"/>
          <w:szCs w:val="21"/>
        </w:rPr>
        <w:t>年</w:t>
      </w:r>
      <w:r>
        <w:rPr>
          <w:rFonts w:hint="eastAsia" w:ascii="Times New Roman Regular" w:hAnsi="Times New Roman Regular" w:eastAsia="宋体" w:cs="Times New Roman Regular"/>
          <w:kern w:val="2"/>
          <w:sz w:val="21"/>
          <w:szCs w:val="21"/>
          <w:lang w:val="en-US" w:eastAsia="zh-CN"/>
        </w:rPr>
        <w:t>6—7</w:t>
      </w:r>
      <w:r>
        <w:rPr>
          <w:rFonts w:hint="default" w:ascii="Times New Roman Regular" w:hAnsi="Times New Roman Regular" w:eastAsia="宋体" w:cs="Times New Roman Regular"/>
          <w:kern w:val="2"/>
          <w:sz w:val="21"/>
          <w:szCs w:val="21"/>
        </w:rPr>
        <w:t>月，</w:t>
      </w:r>
      <w:r>
        <w:rPr>
          <w:rFonts w:hint="eastAsia" w:ascii="Times New Roman Regular" w:hAnsi="Times New Roman Regular" w:eastAsia="宋体" w:cs="Times New Roman Regular"/>
          <w:kern w:val="2"/>
          <w:sz w:val="21"/>
          <w:szCs w:val="21"/>
          <w:lang w:val="en-US" w:eastAsia="zh-CN"/>
        </w:rPr>
        <w:t>编制组就《工作组讨论稿》</w:t>
      </w:r>
      <w:r>
        <w:rPr>
          <w:rFonts w:hint="eastAsia" w:ascii="Times New Roman Regular" w:hAnsi="Times New Roman Regular" w:eastAsia="宋体" w:cs="Times New Roman Regular"/>
          <w:sz w:val="21"/>
          <w:szCs w:val="21"/>
          <w:lang w:val="en-US" w:eastAsia="zh-CN"/>
        </w:rPr>
        <w:t>（V2.0）</w:t>
      </w:r>
      <w:r>
        <w:rPr>
          <w:rFonts w:hint="eastAsia" w:ascii="Times New Roman Regular" w:hAnsi="Times New Roman Regular" w:eastAsia="宋体" w:cs="Times New Roman Regular"/>
          <w:kern w:val="2"/>
          <w:sz w:val="21"/>
          <w:szCs w:val="21"/>
          <w:lang w:val="en-US" w:eastAsia="zh-CN"/>
        </w:rPr>
        <w:t>广泛征求终端采购单位、设计院、制造企业和检测机构意见，修订完成《征求意见稿》。</w:t>
      </w:r>
    </w:p>
    <w:p w14:paraId="5FB151CC">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kern w:val="2"/>
          <w:sz w:val="21"/>
          <w:szCs w:val="21"/>
          <w:lang w:val="en-US" w:eastAsia="zh-CN"/>
        </w:rPr>
      </w:pPr>
      <w:r>
        <w:rPr>
          <w:rFonts w:hint="default" w:ascii="Times New Roman Regular" w:hAnsi="Times New Roman Regular" w:eastAsia="宋体" w:cs="Times New Roman Regular"/>
          <w:kern w:val="2"/>
          <w:sz w:val="21"/>
          <w:szCs w:val="21"/>
        </w:rPr>
        <w:t>202</w:t>
      </w:r>
      <w:r>
        <w:rPr>
          <w:rFonts w:hint="eastAsia" w:ascii="Times New Roman Regular" w:hAnsi="Times New Roman Regular" w:eastAsia="宋体" w:cs="Times New Roman Regular"/>
          <w:kern w:val="2"/>
          <w:sz w:val="21"/>
          <w:szCs w:val="21"/>
          <w:lang w:val="en-US" w:eastAsia="zh-CN"/>
        </w:rPr>
        <w:t>5</w:t>
      </w:r>
      <w:r>
        <w:rPr>
          <w:rFonts w:hint="default" w:ascii="Times New Roman Regular" w:hAnsi="Times New Roman Regular" w:eastAsia="宋体" w:cs="Times New Roman Regular"/>
          <w:kern w:val="2"/>
          <w:sz w:val="21"/>
          <w:szCs w:val="21"/>
        </w:rPr>
        <w:t>年</w:t>
      </w:r>
      <w:r>
        <w:rPr>
          <w:rFonts w:hint="eastAsia" w:ascii="Times New Roman Regular" w:hAnsi="Times New Roman Regular" w:eastAsia="宋体" w:cs="Times New Roman Regular"/>
          <w:kern w:val="2"/>
          <w:sz w:val="21"/>
          <w:szCs w:val="21"/>
          <w:lang w:val="en-US" w:eastAsia="zh-CN"/>
        </w:rPr>
        <w:t>9</w:t>
      </w:r>
      <w:r>
        <w:rPr>
          <w:rFonts w:hint="default" w:ascii="Times New Roman Regular" w:hAnsi="Times New Roman Regular" w:eastAsia="宋体" w:cs="Times New Roman Regular"/>
          <w:kern w:val="2"/>
          <w:sz w:val="21"/>
          <w:szCs w:val="21"/>
        </w:rPr>
        <w:t>月</w:t>
      </w:r>
      <w:r>
        <w:rPr>
          <w:rFonts w:hint="default" w:ascii="Times New Roman Regular" w:hAnsi="Times New Roman Regular" w:eastAsia="宋体" w:cs="Times New Roman Regular"/>
          <w:kern w:val="2"/>
          <w:sz w:val="21"/>
          <w:szCs w:val="21"/>
          <w:lang w:val="en-US" w:eastAsia="zh-CN"/>
        </w:rPr>
        <w:t>，发布</w:t>
      </w:r>
      <w:r>
        <w:rPr>
          <w:rFonts w:hint="eastAsia" w:ascii="Times New Roman Regular" w:hAnsi="Times New Roman Regular" w:eastAsia="宋体" w:cs="Times New Roman Regular"/>
          <w:kern w:val="2"/>
          <w:sz w:val="21"/>
          <w:szCs w:val="21"/>
          <w:lang w:val="en-US" w:eastAsia="zh-CN"/>
        </w:rPr>
        <w:t>《</w:t>
      </w:r>
      <w:r>
        <w:rPr>
          <w:rFonts w:hint="default" w:ascii="Times New Roman Regular" w:hAnsi="Times New Roman Regular" w:eastAsia="宋体" w:cs="Times New Roman Regular"/>
          <w:kern w:val="2"/>
          <w:sz w:val="21"/>
          <w:szCs w:val="21"/>
          <w:lang w:val="en-US" w:eastAsia="zh-CN"/>
        </w:rPr>
        <w:t>征求意见</w:t>
      </w:r>
      <w:r>
        <w:rPr>
          <w:rFonts w:hint="eastAsia" w:ascii="Times New Roman Regular" w:hAnsi="Times New Roman Regular" w:eastAsia="宋体" w:cs="Times New Roman Regular"/>
          <w:kern w:val="2"/>
          <w:sz w:val="21"/>
          <w:szCs w:val="21"/>
          <w:lang w:val="en-US" w:eastAsia="zh-CN"/>
        </w:rPr>
        <w:t>稿》</w:t>
      </w:r>
      <w:r>
        <w:rPr>
          <w:rFonts w:hint="default" w:ascii="Times New Roman Regular" w:hAnsi="Times New Roman Regular" w:eastAsia="宋体" w:cs="Times New Roman Regular"/>
          <w:kern w:val="2"/>
          <w:sz w:val="21"/>
          <w:szCs w:val="21"/>
          <w:lang w:val="en-US" w:eastAsia="zh-CN"/>
        </w:rPr>
        <w:t>，面向社会公开征求意见。</w:t>
      </w:r>
    </w:p>
    <w:p w14:paraId="4CBAAA28">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kern w:val="2"/>
          <w:sz w:val="21"/>
          <w:szCs w:val="21"/>
          <w:lang w:val="en-US" w:eastAsia="zh-CN"/>
        </w:rPr>
      </w:pPr>
      <w:r>
        <w:rPr>
          <w:rFonts w:hint="eastAsia" w:ascii="Times New Roman Regular" w:hAnsi="Times New Roman Regular" w:eastAsia="宋体" w:cs="Times New Roman Regular"/>
          <w:kern w:val="2"/>
          <w:sz w:val="21"/>
          <w:szCs w:val="21"/>
          <w:lang w:val="en-US" w:eastAsia="zh-CN"/>
        </w:rPr>
        <w:t>2026年4月，发布《送审稿》，面向社会公开征求意见。</w:t>
      </w:r>
    </w:p>
    <w:p w14:paraId="0E795D48">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eastAsia" w:ascii="黑体" w:hAnsi="黑体" w:eastAsia="黑体" w:cs="黑体"/>
          <w:b w:val="0"/>
          <w:bCs/>
          <w:sz w:val="28"/>
          <w:szCs w:val="28"/>
          <w:lang w:val="en-US" w:eastAsia="zh-CN"/>
        </w:rPr>
      </w:pPr>
      <w:bookmarkStart w:id="73" w:name="_Toc17300"/>
      <w:bookmarkStart w:id="74" w:name="_Toc18777"/>
      <w:bookmarkStart w:id="75" w:name="_Toc17271"/>
      <w:bookmarkStart w:id="76" w:name="_Toc1482"/>
      <w:bookmarkStart w:id="77" w:name="_Toc31694"/>
      <w:bookmarkStart w:id="78" w:name="_Toc22777"/>
      <w:bookmarkStart w:id="79" w:name="_Toc17840"/>
      <w:bookmarkStart w:id="80" w:name="_Toc21766"/>
      <w:bookmarkStart w:id="81" w:name="_Toc25549"/>
      <w:bookmarkStart w:id="82" w:name="_Toc941805515"/>
      <w:bookmarkStart w:id="83" w:name="_Toc1523942615"/>
      <w:bookmarkStart w:id="84" w:name="_Toc1326"/>
      <w:bookmarkStart w:id="85" w:name="_Toc31329"/>
      <w:bookmarkStart w:id="86" w:name="_Toc16201"/>
      <w:r>
        <w:rPr>
          <w:rFonts w:hint="eastAsia" w:ascii="黑体" w:hAnsi="黑体" w:eastAsia="黑体" w:cs="黑体"/>
          <w:b w:val="0"/>
          <w:bCs/>
          <w:sz w:val="28"/>
          <w:szCs w:val="28"/>
          <w:lang w:val="en-US" w:eastAsia="zh-CN"/>
        </w:rPr>
        <w:t>关于标准名称</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38E6F663">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在标准编制征求意见过程中，多家单位及专家反馈，本标准所规定的电线电缆采购技术要求、性能指标、检验规则、验收方法等核心内容，均具有跨行业、跨领域的普遍适用性。原标准名称中</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发电企业</w:t>
      </w:r>
      <w:r>
        <w:rPr>
          <w:rFonts w:hint="eastAsia" w:ascii="Times New Roman Regular" w:hAnsi="Times New Roman Regular" w:eastAsia="宋体" w:cs="Times New Roman Regular"/>
          <w:sz w:val="21"/>
          <w:szCs w:val="21"/>
          <w:lang w:val="en-US" w:eastAsia="zh-CN"/>
        </w:rPr>
        <w:t>”和“</w:t>
      </w:r>
      <w:r>
        <w:rPr>
          <w:rFonts w:hint="default" w:ascii="Times New Roman Regular" w:hAnsi="Times New Roman Regular" w:eastAsia="宋体" w:cs="Times New Roman Regular"/>
          <w:sz w:val="21"/>
          <w:szCs w:val="21"/>
          <w:lang w:val="en-US" w:eastAsia="zh-CN"/>
        </w:rPr>
        <w:t>煤矿企业</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的限定在一定程度上不能正确表达标准的适用行业领域</w:t>
      </w:r>
      <w:r>
        <w:rPr>
          <w:rFonts w:hint="eastAsia" w:ascii="Times New Roman Regular" w:hAnsi="Times New Roman Regular" w:eastAsia="宋体" w:cs="Times New Roman Regular"/>
          <w:sz w:val="21"/>
          <w:szCs w:val="21"/>
          <w:lang w:val="en-US" w:eastAsia="zh-CN"/>
        </w:rPr>
        <w:t>，建议变更名称，删除“</w:t>
      </w:r>
      <w:r>
        <w:rPr>
          <w:rFonts w:hint="default" w:ascii="Times New Roman Regular" w:hAnsi="Times New Roman Regular" w:eastAsia="宋体" w:cs="Times New Roman Regular"/>
          <w:sz w:val="21"/>
          <w:szCs w:val="21"/>
          <w:lang w:val="en-US" w:eastAsia="zh-CN"/>
        </w:rPr>
        <w:t>发电企业</w:t>
      </w:r>
      <w:r>
        <w:rPr>
          <w:rFonts w:hint="eastAsia" w:ascii="Times New Roman Regular" w:hAnsi="Times New Roman Regular" w:eastAsia="宋体" w:cs="Times New Roman Regular"/>
          <w:sz w:val="21"/>
          <w:szCs w:val="21"/>
          <w:lang w:val="en-US" w:eastAsia="zh-CN"/>
        </w:rPr>
        <w:t>”和“</w:t>
      </w:r>
      <w:r>
        <w:rPr>
          <w:rFonts w:hint="default" w:ascii="Times New Roman Regular" w:hAnsi="Times New Roman Regular" w:eastAsia="宋体" w:cs="Times New Roman Regular"/>
          <w:sz w:val="21"/>
          <w:szCs w:val="21"/>
          <w:lang w:val="en-US" w:eastAsia="zh-CN"/>
        </w:rPr>
        <w:t>煤矿企业</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的限定，</w:t>
      </w:r>
      <w:r>
        <w:rPr>
          <w:rFonts w:hint="eastAsia" w:ascii="Times New Roman Regular" w:hAnsi="Times New Roman Regular" w:eastAsia="宋体" w:cs="Times New Roman Regular"/>
          <w:sz w:val="21"/>
          <w:szCs w:val="21"/>
          <w:lang w:val="en-US" w:eastAsia="zh-CN"/>
        </w:rPr>
        <w:t>以</w:t>
      </w:r>
      <w:r>
        <w:rPr>
          <w:rFonts w:hint="default" w:ascii="Times New Roman Regular" w:hAnsi="Times New Roman Regular" w:eastAsia="宋体" w:cs="Times New Roman Regular"/>
          <w:sz w:val="21"/>
          <w:szCs w:val="21"/>
          <w:lang w:val="en-US" w:eastAsia="zh-CN"/>
        </w:rPr>
        <w:t>增强标准的通用性和行业参考价值</w:t>
      </w:r>
      <w:r>
        <w:rPr>
          <w:rFonts w:hint="eastAsia" w:ascii="Times New Roman Regular" w:hAnsi="Times New Roman Regular" w:eastAsia="宋体" w:cs="Times New Roman Regular"/>
          <w:sz w:val="21"/>
          <w:szCs w:val="21"/>
          <w:lang w:val="en-US" w:eastAsia="zh-CN"/>
        </w:rPr>
        <w:t>；同时，</w:t>
      </w:r>
      <w:r>
        <w:rPr>
          <w:rFonts w:hint="default" w:ascii="Times New Roman Regular" w:hAnsi="Times New Roman Regular" w:eastAsia="宋体" w:cs="Times New Roman Regular"/>
          <w:sz w:val="21"/>
          <w:szCs w:val="21"/>
          <w:lang w:val="en-US" w:eastAsia="zh-CN"/>
        </w:rPr>
        <w:t>名称变更</w:t>
      </w:r>
      <w:r>
        <w:rPr>
          <w:rFonts w:hint="eastAsia" w:ascii="Times New Roman Regular" w:hAnsi="Times New Roman Regular" w:eastAsia="宋体" w:cs="Times New Roman Regular"/>
          <w:sz w:val="21"/>
          <w:szCs w:val="21"/>
          <w:lang w:val="en-US" w:eastAsia="zh-CN"/>
        </w:rPr>
        <w:t>也更</w:t>
      </w:r>
      <w:r>
        <w:rPr>
          <w:rFonts w:hint="default" w:ascii="Times New Roman Regular" w:hAnsi="Times New Roman Regular" w:eastAsia="宋体" w:cs="Times New Roman Regular"/>
          <w:sz w:val="21"/>
          <w:szCs w:val="21"/>
          <w:lang w:val="en-US" w:eastAsia="zh-CN"/>
        </w:rPr>
        <w:t>有利于吸引更多行业领域采购单位参与，切实推动电线电缆采购的整体提质增效。</w:t>
      </w:r>
      <w:r>
        <w:rPr>
          <w:rFonts w:hint="eastAsia" w:ascii="Times New Roman Regular" w:hAnsi="Times New Roman Regular" w:eastAsia="宋体" w:cs="Times New Roman Regular"/>
          <w:sz w:val="21"/>
          <w:szCs w:val="21"/>
          <w:lang w:val="en-US" w:eastAsia="zh-CN"/>
        </w:rPr>
        <w:t>2025年8月29日，中招协发布“关于《发电企业电线电缆采购技术规范》《煤矿企业电线电缆采购技术规范》《发电企业电线电缆采购技术评审指南》等团体标准名称变更的公告”（中招协发〔2025〕70号），</w:t>
      </w:r>
      <w:r>
        <w:rPr>
          <w:rFonts w:hint="eastAsia" w:ascii="Times New Roman Regular" w:hAnsi="Times New Roman Regular" w:eastAsia="宋体" w:cs="Times New Roman Regular"/>
          <w:b w:val="0"/>
          <w:bCs w:val="0"/>
          <w:sz w:val="21"/>
          <w:szCs w:val="21"/>
          <w:lang w:val="en-US" w:eastAsia="zh-CN"/>
        </w:rPr>
        <w:t>T/CTBA 006系列标准统一改为《电线电缆采购技术规范》，故本部分标准更名为《</w:t>
      </w:r>
      <w:r>
        <w:rPr>
          <w:rFonts w:hint="default" w:ascii="Times New Roman Regular" w:hAnsi="Times New Roman Regular" w:eastAsia="宋体" w:cs="Times New Roman Regular"/>
          <w:sz w:val="21"/>
          <w:szCs w:val="21"/>
          <w:lang w:val="en-US" w:eastAsia="zh-CN"/>
        </w:rPr>
        <w:t>电线电缆采购技术</w:t>
      </w:r>
      <w:r>
        <w:rPr>
          <w:rFonts w:hint="eastAsia" w:ascii="Times New Roman Regular" w:hAnsi="Times New Roman Regular" w:eastAsia="宋体" w:cs="Times New Roman Regular"/>
          <w:sz w:val="21"/>
          <w:szCs w:val="21"/>
          <w:lang w:val="en-US" w:eastAsia="zh-CN"/>
        </w:rPr>
        <w:t>规范</w:t>
      </w:r>
      <w:r>
        <w:rPr>
          <w:rFonts w:hint="default" w:ascii="Times New Roman Regular" w:hAnsi="Times New Roman Regular" w:eastAsia="宋体" w:cs="Times New Roman Regular"/>
          <w:sz w:val="21"/>
          <w:szCs w:val="21"/>
          <w:lang w:val="en-US" w:eastAsia="zh-CN"/>
        </w:rPr>
        <w:t xml:space="preserve"> 第</w:t>
      </w:r>
      <w:r>
        <w:rPr>
          <w:rFonts w:hint="eastAsia" w:ascii="Times New Roman Regular" w:hAnsi="Times New Roman Regular" w:eastAsia="宋体" w:cs="Times New Roman Regular"/>
          <w:sz w:val="21"/>
          <w:szCs w:val="21"/>
          <w:lang w:val="en-US" w:eastAsia="zh-CN"/>
        </w:rPr>
        <w:t>15</w:t>
      </w:r>
      <w:r>
        <w:rPr>
          <w:rFonts w:hint="default" w:ascii="Times New Roman Regular" w:hAnsi="Times New Roman Regular" w:eastAsia="宋体" w:cs="Times New Roman Regular"/>
          <w:sz w:val="21"/>
          <w:szCs w:val="21"/>
          <w:lang w:val="en-US" w:eastAsia="zh-CN"/>
        </w:rPr>
        <w:t>部分：</w:t>
      </w:r>
      <w:r>
        <w:rPr>
          <w:rFonts w:hint="eastAsia" w:ascii="Times New Roman Regular" w:hAnsi="Times New Roman Regular" w:eastAsia="宋体" w:cs="Times New Roman Regular"/>
          <w:b w:val="0"/>
          <w:bCs w:val="0"/>
          <w:sz w:val="21"/>
          <w:szCs w:val="21"/>
          <w:lang w:val="en-US" w:eastAsia="zh-CN"/>
        </w:rPr>
        <w:t>海底电力电缆（6</w:t>
      </w:r>
      <w:r>
        <w:rPr>
          <w:rFonts w:hint="eastAsia" w:ascii="Times New Roman Regular" w:hAnsi="Times New Roman Regular" w:eastAsia="宋体" w:cs="Times New Roman Regular"/>
          <w:b w:val="0"/>
          <w:bCs w:val="0"/>
          <w:sz w:val="10"/>
          <w:szCs w:val="10"/>
          <w:lang w:val="en-US" w:eastAsia="zh-CN"/>
        </w:rPr>
        <w:t xml:space="preserve"> </w:t>
      </w:r>
      <w:r>
        <w:rPr>
          <w:rFonts w:hint="eastAsia" w:ascii="Times New Roman Regular" w:hAnsi="Times New Roman Regular" w:eastAsia="宋体" w:cs="Times New Roman Regular"/>
          <w:b w:val="0"/>
          <w:bCs w:val="0"/>
          <w:sz w:val="21"/>
          <w:szCs w:val="21"/>
          <w:lang w:val="en-US" w:eastAsia="zh-CN"/>
        </w:rPr>
        <w:t>kV~35</w:t>
      </w:r>
      <w:r>
        <w:rPr>
          <w:rFonts w:hint="eastAsia" w:ascii="Times New Roman Regular" w:hAnsi="Times New Roman Regular" w:eastAsia="宋体" w:cs="Times New Roman Regular"/>
          <w:b w:val="0"/>
          <w:bCs w:val="0"/>
          <w:sz w:val="10"/>
          <w:szCs w:val="10"/>
          <w:lang w:val="en-US" w:eastAsia="zh-CN"/>
        </w:rPr>
        <w:t xml:space="preserve"> </w:t>
      </w:r>
      <w:r>
        <w:rPr>
          <w:rFonts w:hint="eastAsia" w:ascii="Times New Roman Regular" w:hAnsi="Times New Roman Regular" w:eastAsia="宋体" w:cs="Times New Roman Regular"/>
          <w:b w:val="0"/>
          <w:bCs w:val="0"/>
          <w:sz w:val="21"/>
          <w:szCs w:val="21"/>
          <w:lang w:val="en-US" w:eastAsia="zh-CN"/>
        </w:rPr>
        <w:t>kV）</w:t>
      </w:r>
      <w:r>
        <w:rPr>
          <w:rFonts w:hint="default" w:ascii="Times New Roman Regular" w:hAnsi="Times New Roman Regular" w:eastAsia="宋体" w:cs="Times New Roman Regular"/>
          <w:sz w:val="21"/>
          <w:szCs w:val="21"/>
          <w:lang w:val="en-US" w:eastAsia="zh-CN"/>
        </w:rPr>
        <w:t>》。</w:t>
      </w:r>
    </w:p>
    <w:p w14:paraId="24ADDD12">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eastAsia" w:ascii="黑体" w:hAnsi="黑体" w:eastAsia="黑体" w:cs="黑体"/>
          <w:b w:val="0"/>
          <w:bCs/>
          <w:sz w:val="28"/>
          <w:szCs w:val="28"/>
          <w:lang w:val="en-US" w:eastAsia="zh-CN"/>
        </w:rPr>
      </w:pPr>
      <w:bookmarkStart w:id="87" w:name="_Toc250"/>
      <w:bookmarkStart w:id="88" w:name="_Toc2013556183"/>
      <w:bookmarkStart w:id="89" w:name="_Toc17477"/>
      <w:bookmarkStart w:id="90" w:name="_Toc16264"/>
      <w:bookmarkStart w:id="91" w:name="_Toc4698"/>
      <w:bookmarkStart w:id="92" w:name="_Toc766"/>
      <w:bookmarkStart w:id="93" w:name="_Toc29105"/>
      <w:bookmarkStart w:id="94" w:name="_Toc5485"/>
      <w:bookmarkStart w:id="95" w:name="_Toc29697"/>
      <w:bookmarkStart w:id="96" w:name="_Toc21633"/>
      <w:bookmarkStart w:id="97" w:name="_Toc1970812215"/>
      <w:bookmarkStart w:id="98" w:name="_Toc23084"/>
      <w:bookmarkStart w:id="99" w:name="_Toc27860"/>
      <w:bookmarkStart w:id="100" w:name="_Toc10148"/>
      <w:r>
        <w:rPr>
          <w:rFonts w:hint="eastAsia" w:ascii="黑体" w:hAnsi="黑体" w:eastAsia="黑体" w:cs="黑体"/>
          <w:b w:val="0"/>
          <w:bCs/>
          <w:sz w:val="28"/>
          <w:szCs w:val="28"/>
          <w:lang w:val="en-US" w:eastAsia="zh-CN"/>
        </w:rPr>
        <w:t>标准编制原则</w:t>
      </w:r>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638C7C8C">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按照GB/T</w:t>
      </w:r>
      <w:r>
        <w:rPr>
          <w:rFonts w:hint="default" w:ascii="Times New Roman Regular" w:hAnsi="Times New Roman Regular" w:eastAsia="宋体" w:cs="Times New Roman Regular"/>
          <w:sz w:val="21"/>
          <w:szCs w:val="21"/>
          <w:lang w:val="en-US" w:eastAsia="zh-CN"/>
        </w:rPr>
        <w:t xml:space="preserve"> </w:t>
      </w:r>
      <w:r>
        <w:rPr>
          <w:rFonts w:hint="default" w:ascii="Times New Roman Regular" w:hAnsi="Times New Roman Regular" w:eastAsia="宋体" w:cs="Times New Roman Regular"/>
          <w:sz w:val="21"/>
          <w:szCs w:val="21"/>
        </w:rPr>
        <w:t>1.1</w:t>
      </w:r>
      <w:r>
        <w:rPr>
          <w:rFonts w:hint="default" w:ascii="Times New Roman Regular" w:hAnsi="Times New Roman Regular" w:eastAsia="宋体" w:cs="Times New Roman Regular"/>
          <w:sz w:val="21"/>
          <w:szCs w:val="21"/>
          <w:lang w:eastAsia="zh-CN"/>
        </w:rPr>
        <w:t>—</w:t>
      </w:r>
      <w:r>
        <w:rPr>
          <w:rFonts w:hint="default" w:ascii="Times New Roman Regular" w:hAnsi="Times New Roman Regular" w:eastAsia="宋体" w:cs="Times New Roman Regular"/>
          <w:sz w:val="21"/>
          <w:szCs w:val="21"/>
        </w:rPr>
        <w:t>2020《标准化工作导则第1部分：标准的结构和编写》的要求和规定编写本标准内容。本标准还符合以下原则：</w:t>
      </w:r>
    </w:p>
    <w:p w14:paraId="11BF8C15">
      <w:pPr>
        <w:pageBreakBefore w:val="0"/>
        <w:kinsoku/>
        <w:wordWrap/>
        <w:overflowPunct/>
        <w:topLinePunct w:val="0"/>
        <w:autoSpaceDE/>
        <w:autoSpaceDN/>
        <w:bidi w:val="0"/>
        <w:spacing w:before="157" w:beforeLines="50" w:after="157" w:afterLines="50" w:line="360" w:lineRule="auto"/>
        <w:ind w:firstLine="480" w:firstLineChars="200"/>
        <w:textAlignment w:val="auto"/>
        <w:outlineLvl w:val="1"/>
        <w:rPr>
          <w:rFonts w:hint="eastAsia" w:ascii="黑体" w:hAnsi="黑体" w:eastAsia="黑体" w:cs="黑体"/>
          <w:b w:val="0"/>
          <w:bCs w:val="0"/>
          <w:sz w:val="24"/>
          <w:szCs w:val="24"/>
        </w:rPr>
      </w:pPr>
      <w:bookmarkStart w:id="101" w:name="_Toc7095"/>
      <w:bookmarkStart w:id="102" w:name="_Toc1791458255"/>
      <w:bookmarkStart w:id="103" w:name="_Toc22135"/>
      <w:bookmarkStart w:id="104" w:name="_Toc629"/>
      <w:bookmarkStart w:id="105" w:name="_Toc2507"/>
      <w:bookmarkStart w:id="106" w:name="_Toc653126177"/>
      <w:bookmarkStart w:id="107" w:name="_Toc11837"/>
      <w:r>
        <w:rPr>
          <w:rFonts w:hint="eastAsia" w:ascii="黑体" w:hAnsi="黑体" w:eastAsia="黑体" w:cs="黑体"/>
          <w:b w:val="0"/>
          <w:bCs w:val="0"/>
          <w:sz w:val="24"/>
          <w:szCs w:val="24"/>
        </w:rPr>
        <w:t>（一）</w:t>
      </w:r>
      <w:r>
        <w:rPr>
          <w:rFonts w:hint="eastAsia" w:ascii="黑体" w:hAnsi="黑体" w:eastAsia="黑体" w:cs="黑体"/>
          <w:b w:val="0"/>
          <w:bCs w:val="0"/>
          <w:sz w:val="24"/>
          <w:szCs w:val="24"/>
          <w:lang w:val="en-US" w:eastAsia="zh-CN"/>
        </w:rPr>
        <w:t>一致性</w:t>
      </w:r>
      <w:r>
        <w:rPr>
          <w:rFonts w:hint="eastAsia" w:ascii="黑体" w:hAnsi="黑体" w:eastAsia="黑体" w:cs="黑体"/>
          <w:b w:val="0"/>
          <w:bCs w:val="0"/>
          <w:sz w:val="24"/>
          <w:szCs w:val="24"/>
        </w:rPr>
        <w:t>原则</w:t>
      </w:r>
      <w:bookmarkEnd w:id="101"/>
      <w:bookmarkEnd w:id="102"/>
      <w:bookmarkEnd w:id="103"/>
      <w:bookmarkEnd w:id="104"/>
      <w:bookmarkEnd w:id="105"/>
      <w:bookmarkEnd w:id="106"/>
      <w:bookmarkEnd w:id="107"/>
    </w:p>
    <w:p w14:paraId="35115F64">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eastAsia="zh-CN"/>
        </w:rPr>
      </w:pPr>
      <w:r>
        <w:rPr>
          <w:rFonts w:hint="default" w:ascii="Times New Roman Regular" w:hAnsi="Times New Roman Regular" w:eastAsia="宋体" w:cs="Times New Roman Regular"/>
          <w:sz w:val="21"/>
          <w:szCs w:val="21"/>
        </w:rPr>
        <w:t>本标准在起草过程中，认真对照国家标准中的有关规定，使本标准所</w:t>
      </w:r>
      <w:r>
        <w:rPr>
          <w:rFonts w:hint="default" w:ascii="Times New Roman Regular" w:hAnsi="Times New Roman Regular" w:eastAsia="宋体" w:cs="Times New Roman Regular"/>
          <w:sz w:val="21"/>
          <w:szCs w:val="21"/>
          <w:lang w:eastAsia="zh-CN"/>
        </w:rPr>
        <w:t>涉及的法律法规</w:t>
      </w:r>
      <w:r>
        <w:rPr>
          <w:rFonts w:hint="default" w:ascii="Times New Roman Regular" w:hAnsi="Times New Roman Regular" w:eastAsia="宋体" w:cs="Times New Roman Regular"/>
          <w:sz w:val="21"/>
          <w:szCs w:val="21"/>
        </w:rPr>
        <w:t>问题有据可依，与国家相关</w:t>
      </w:r>
      <w:r>
        <w:rPr>
          <w:rFonts w:hint="default" w:ascii="Times New Roman Regular" w:hAnsi="Times New Roman Regular" w:eastAsia="宋体" w:cs="Times New Roman Regular"/>
          <w:sz w:val="21"/>
          <w:szCs w:val="21"/>
          <w:lang w:eastAsia="zh-CN"/>
        </w:rPr>
        <w:t>法律法规</w:t>
      </w:r>
      <w:r>
        <w:rPr>
          <w:rFonts w:hint="default" w:ascii="Times New Roman Regular" w:hAnsi="Times New Roman Regular" w:eastAsia="宋体" w:cs="Times New Roman Regular"/>
          <w:sz w:val="21"/>
          <w:szCs w:val="21"/>
        </w:rPr>
        <w:t>保持一致</w:t>
      </w:r>
      <w:r>
        <w:rPr>
          <w:rFonts w:hint="default" w:ascii="Times New Roman Regular" w:hAnsi="Times New Roman Regular" w:eastAsia="宋体" w:cs="Times New Roman Regular"/>
          <w:sz w:val="21"/>
          <w:szCs w:val="21"/>
          <w:lang w:eastAsia="zh-CN"/>
        </w:rPr>
        <w:t>。</w:t>
      </w:r>
    </w:p>
    <w:p w14:paraId="49EECBA8">
      <w:pPr>
        <w:pageBreakBefore w:val="0"/>
        <w:kinsoku/>
        <w:wordWrap/>
        <w:overflowPunct/>
        <w:topLinePunct w:val="0"/>
        <w:autoSpaceDE/>
        <w:autoSpaceDN/>
        <w:bidi w:val="0"/>
        <w:spacing w:before="157" w:beforeLines="50" w:after="157" w:afterLines="50" w:line="360" w:lineRule="auto"/>
        <w:ind w:firstLine="480" w:firstLineChars="200"/>
        <w:textAlignment w:val="auto"/>
        <w:outlineLvl w:val="1"/>
        <w:rPr>
          <w:rFonts w:hint="default" w:ascii="黑体" w:hAnsi="黑体" w:eastAsia="黑体" w:cs="黑体"/>
          <w:b w:val="0"/>
          <w:bCs w:val="0"/>
          <w:sz w:val="24"/>
          <w:szCs w:val="24"/>
          <w:lang w:val="en-US" w:eastAsia="zh-CN"/>
        </w:rPr>
      </w:pPr>
      <w:bookmarkStart w:id="108" w:name="_Toc8568"/>
      <w:bookmarkStart w:id="109" w:name="_Toc9906"/>
      <w:bookmarkStart w:id="110" w:name="_Toc1318160845"/>
      <w:bookmarkStart w:id="111" w:name="_Toc1783"/>
      <w:bookmarkStart w:id="112" w:name="_Toc1975"/>
      <w:bookmarkStart w:id="113" w:name="_Toc1302737022"/>
      <w:bookmarkStart w:id="114" w:name="_Toc19756"/>
      <w:bookmarkStart w:id="115" w:name="_Toc15922"/>
      <w:r>
        <w:rPr>
          <w:rFonts w:hint="default" w:ascii="黑体" w:hAnsi="黑体" w:eastAsia="黑体" w:cs="黑体"/>
          <w:b w:val="0"/>
          <w:bCs w:val="0"/>
          <w:sz w:val="24"/>
          <w:szCs w:val="24"/>
          <w:lang w:eastAsia="zh-CN"/>
        </w:rPr>
        <w:t>（</w:t>
      </w:r>
      <w:r>
        <w:rPr>
          <w:rFonts w:hint="default" w:ascii="黑体" w:hAnsi="黑体" w:eastAsia="黑体" w:cs="黑体"/>
          <w:b w:val="0"/>
          <w:bCs w:val="0"/>
          <w:sz w:val="24"/>
          <w:szCs w:val="24"/>
          <w:lang w:val="en-US" w:eastAsia="zh-CN"/>
        </w:rPr>
        <w:t>二</w:t>
      </w:r>
      <w:r>
        <w:rPr>
          <w:rFonts w:hint="default" w:ascii="黑体" w:hAnsi="黑体" w:eastAsia="黑体" w:cs="黑体"/>
          <w:b w:val="0"/>
          <w:bCs w:val="0"/>
          <w:sz w:val="24"/>
          <w:szCs w:val="24"/>
          <w:lang w:eastAsia="zh-CN"/>
        </w:rPr>
        <w:t>）</w:t>
      </w:r>
      <w:r>
        <w:rPr>
          <w:rFonts w:hint="default" w:ascii="黑体" w:hAnsi="黑体" w:eastAsia="黑体" w:cs="黑体"/>
          <w:b w:val="0"/>
          <w:bCs w:val="0"/>
          <w:sz w:val="24"/>
          <w:szCs w:val="24"/>
          <w:lang w:val="en-US" w:eastAsia="zh-CN"/>
        </w:rPr>
        <w:t>先进性原则</w:t>
      </w:r>
      <w:bookmarkEnd w:id="108"/>
      <w:bookmarkEnd w:id="109"/>
      <w:bookmarkEnd w:id="110"/>
      <w:bookmarkEnd w:id="111"/>
      <w:bookmarkEnd w:id="112"/>
      <w:bookmarkEnd w:id="113"/>
      <w:bookmarkEnd w:id="114"/>
      <w:bookmarkEnd w:id="115"/>
    </w:p>
    <w:p w14:paraId="4C369DC5">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本标准编制过程中，在充分调研的基础上，吸收了国内外同类企业和团体的技术标准和水平，在预期可达到的条件下，积极将有关新技术纳入标准，维持标准的先进性</w:t>
      </w:r>
      <w:r>
        <w:rPr>
          <w:rFonts w:hint="default" w:ascii="Times New Roman Regular" w:hAnsi="Times New Roman Regular" w:eastAsia="宋体" w:cs="Times New Roman Regular"/>
          <w:sz w:val="21"/>
          <w:szCs w:val="21"/>
          <w:lang w:eastAsia="zh-CN"/>
        </w:rPr>
        <w:t>。</w:t>
      </w:r>
    </w:p>
    <w:p w14:paraId="5B801294">
      <w:pPr>
        <w:pageBreakBefore w:val="0"/>
        <w:kinsoku/>
        <w:wordWrap/>
        <w:overflowPunct/>
        <w:topLinePunct w:val="0"/>
        <w:autoSpaceDE/>
        <w:autoSpaceDN/>
        <w:bidi w:val="0"/>
        <w:spacing w:before="157" w:beforeLines="50" w:after="157" w:afterLines="50" w:line="360" w:lineRule="auto"/>
        <w:ind w:firstLine="480" w:firstLineChars="200"/>
        <w:textAlignment w:val="auto"/>
        <w:outlineLvl w:val="1"/>
        <w:rPr>
          <w:rFonts w:hint="default" w:ascii="黑体" w:hAnsi="黑体" w:eastAsia="黑体" w:cs="黑体"/>
          <w:b w:val="0"/>
          <w:bCs w:val="0"/>
          <w:sz w:val="24"/>
          <w:szCs w:val="24"/>
        </w:rPr>
      </w:pPr>
      <w:bookmarkStart w:id="116" w:name="_Toc9954"/>
      <w:bookmarkStart w:id="117" w:name="_Toc11494"/>
      <w:bookmarkStart w:id="118" w:name="_Toc1505347589"/>
      <w:bookmarkStart w:id="119" w:name="_Toc888019463"/>
      <w:bookmarkStart w:id="120" w:name="_Toc473"/>
      <w:bookmarkStart w:id="121" w:name="_Toc32176"/>
      <w:bookmarkStart w:id="122" w:name="_Toc22068"/>
      <w:bookmarkStart w:id="123" w:name="_Toc6626"/>
      <w:r>
        <w:rPr>
          <w:rFonts w:hint="default" w:ascii="黑体" w:hAnsi="黑体" w:eastAsia="黑体" w:cs="黑体"/>
          <w:b w:val="0"/>
          <w:bCs w:val="0"/>
          <w:sz w:val="24"/>
          <w:szCs w:val="24"/>
        </w:rPr>
        <w:t>（</w:t>
      </w:r>
      <w:r>
        <w:rPr>
          <w:rFonts w:hint="default" w:ascii="黑体" w:hAnsi="黑体" w:eastAsia="黑体" w:cs="黑体"/>
          <w:b w:val="0"/>
          <w:bCs w:val="0"/>
          <w:sz w:val="24"/>
          <w:szCs w:val="24"/>
          <w:lang w:val="en-US" w:eastAsia="zh-CN"/>
        </w:rPr>
        <w:t>三</w:t>
      </w:r>
      <w:r>
        <w:rPr>
          <w:rFonts w:hint="default" w:ascii="黑体" w:hAnsi="黑体" w:eastAsia="黑体" w:cs="黑体"/>
          <w:b w:val="0"/>
          <w:bCs w:val="0"/>
          <w:sz w:val="24"/>
          <w:szCs w:val="24"/>
        </w:rPr>
        <w:t>）协调性原则</w:t>
      </w:r>
      <w:bookmarkEnd w:id="116"/>
      <w:bookmarkEnd w:id="117"/>
      <w:bookmarkEnd w:id="118"/>
      <w:bookmarkEnd w:id="119"/>
      <w:bookmarkEnd w:id="120"/>
      <w:bookmarkEnd w:id="121"/>
      <w:bookmarkEnd w:id="122"/>
      <w:bookmarkEnd w:id="123"/>
    </w:p>
    <w:p w14:paraId="5C6D246C">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本标准在框架结构、层次的编写、要素的表述、编排格式等方面的要求尽可能与</w:t>
      </w:r>
      <w:r>
        <w:rPr>
          <w:rFonts w:hint="eastAsia" w:ascii="Times New Roman Regular" w:hAnsi="Times New Roman Regular" w:eastAsia="宋体" w:cs="Times New Roman Regular"/>
          <w:sz w:val="21"/>
          <w:szCs w:val="21"/>
          <w:lang w:val="en-US" w:eastAsia="zh-CN"/>
        </w:rPr>
        <w:t>海底电力</w:t>
      </w:r>
      <w:r>
        <w:rPr>
          <w:rFonts w:hint="default" w:ascii="Times New Roman Regular" w:hAnsi="Times New Roman Regular" w:eastAsia="宋体" w:cs="Times New Roman Regular"/>
          <w:sz w:val="21"/>
          <w:szCs w:val="21"/>
          <w:lang w:val="en-US" w:eastAsia="zh-CN"/>
        </w:rPr>
        <w:t>电缆行业标准、国际标准</w:t>
      </w:r>
      <w:r>
        <w:rPr>
          <w:rFonts w:hint="default" w:ascii="Times New Roman Regular" w:hAnsi="Times New Roman Regular" w:eastAsia="宋体" w:cs="Times New Roman Regular"/>
          <w:sz w:val="21"/>
          <w:szCs w:val="21"/>
        </w:rPr>
        <w:t>相协调。</w:t>
      </w:r>
    </w:p>
    <w:p w14:paraId="622DB5E2">
      <w:pPr>
        <w:pageBreakBefore w:val="0"/>
        <w:kinsoku/>
        <w:wordWrap/>
        <w:overflowPunct/>
        <w:topLinePunct w:val="0"/>
        <w:autoSpaceDE/>
        <w:autoSpaceDN/>
        <w:bidi w:val="0"/>
        <w:spacing w:before="157" w:beforeLines="50" w:after="157" w:afterLines="50" w:line="360" w:lineRule="auto"/>
        <w:ind w:firstLine="480" w:firstLineChars="200"/>
        <w:textAlignment w:val="auto"/>
        <w:outlineLvl w:val="1"/>
        <w:rPr>
          <w:rFonts w:hint="default" w:ascii="黑体" w:hAnsi="黑体" w:eastAsia="黑体" w:cs="黑体"/>
          <w:b w:val="0"/>
          <w:bCs w:val="0"/>
          <w:sz w:val="24"/>
          <w:szCs w:val="24"/>
        </w:rPr>
      </w:pPr>
      <w:bookmarkStart w:id="124" w:name="_Toc26131"/>
      <w:bookmarkStart w:id="125" w:name="_Toc2079251638"/>
      <w:bookmarkStart w:id="126" w:name="_Toc11207"/>
      <w:bookmarkStart w:id="127" w:name="_Toc872083016"/>
      <w:bookmarkStart w:id="128" w:name="_Toc21195"/>
      <w:bookmarkStart w:id="129" w:name="_Toc30308"/>
      <w:bookmarkStart w:id="130" w:name="_Toc25167"/>
      <w:r>
        <w:rPr>
          <w:rFonts w:hint="default" w:ascii="黑体" w:hAnsi="黑体" w:eastAsia="黑体" w:cs="黑体"/>
          <w:b w:val="0"/>
          <w:bCs w:val="0"/>
          <w:sz w:val="24"/>
          <w:szCs w:val="24"/>
        </w:rPr>
        <w:t>（</w:t>
      </w:r>
      <w:r>
        <w:rPr>
          <w:rFonts w:hint="default" w:ascii="黑体" w:hAnsi="黑体" w:eastAsia="黑体" w:cs="黑体"/>
          <w:b w:val="0"/>
          <w:bCs w:val="0"/>
          <w:sz w:val="24"/>
          <w:szCs w:val="24"/>
          <w:lang w:val="en-US" w:eastAsia="zh-CN"/>
        </w:rPr>
        <w:t>四</w:t>
      </w:r>
      <w:r>
        <w:rPr>
          <w:rFonts w:hint="default" w:ascii="黑体" w:hAnsi="黑体" w:eastAsia="黑体" w:cs="黑体"/>
          <w:b w:val="0"/>
          <w:bCs w:val="0"/>
          <w:sz w:val="24"/>
          <w:szCs w:val="24"/>
        </w:rPr>
        <w:t>）可操作性原则</w:t>
      </w:r>
      <w:bookmarkEnd w:id="124"/>
      <w:bookmarkEnd w:id="125"/>
      <w:bookmarkEnd w:id="126"/>
      <w:bookmarkEnd w:id="127"/>
      <w:bookmarkEnd w:id="128"/>
      <w:bookmarkEnd w:id="129"/>
      <w:bookmarkEnd w:id="130"/>
    </w:p>
    <w:p w14:paraId="6395CC42">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本标准充分考虑到</w:t>
      </w:r>
      <w:r>
        <w:rPr>
          <w:rFonts w:hint="eastAsia" w:ascii="Times New Roman Regular" w:hAnsi="Times New Roman Regular" w:eastAsia="宋体" w:cs="Times New Roman Regular"/>
          <w:sz w:val="21"/>
          <w:szCs w:val="21"/>
          <w:lang w:val="en-US" w:eastAsia="zh-CN"/>
        </w:rPr>
        <w:t>海底电力电缆</w:t>
      </w:r>
      <w:r>
        <w:rPr>
          <w:rFonts w:hint="default" w:ascii="Times New Roman Regular" w:hAnsi="Times New Roman Regular" w:eastAsia="宋体" w:cs="Times New Roman Regular"/>
          <w:sz w:val="21"/>
          <w:szCs w:val="21"/>
          <w:lang w:val="en-US" w:eastAsia="zh-CN"/>
        </w:rPr>
        <w:t>招投标中</w:t>
      </w:r>
      <w:r>
        <w:rPr>
          <w:rFonts w:hint="default" w:ascii="Times New Roman Regular" w:hAnsi="Times New Roman Regular" w:eastAsia="宋体" w:cs="Times New Roman Regular"/>
          <w:sz w:val="21"/>
          <w:szCs w:val="21"/>
        </w:rPr>
        <w:t>存在的问题，归纳总结出</w:t>
      </w:r>
      <w:r>
        <w:rPr>
          <w:rFonts w:hint="eastAsia" w:ascii="Times New Roman Regular" w:hAnsi="Times New Roman Regular" w:eastAsia="宋体" w:cs="Times New Roman Regular"/>
          <w:sz w:val="21"/>
          <w:szCs w:val="21"/>
          <w:lang w:val="en-US" w:eastAsia="zh-CN"/>
        </w:rPr>
        <w:t>海底电力电缆</w:t>
      </w:r>
      <w:r>
        <w:rPr>
          <w:rFonts w:hint="default" w:ascii="Times New Roman Regular" w:hAnsi="Times New Roman Regular" w:eastAsia="宋体" w:cs="Times New Roman Regular"/>
          <w:sz w:val="21"/>
          <w:szCs w:val="21"/>
          <w:lang w:val="en-US" w:eastAsia="zh-CN"/>
        </w:rPr>
        <w:t>招投标</w:t>
      </w:r>
      <w:r>
        <w:rPr>
          <w:rFonts w:hint="default" w:ascii="Times New Roman Regular" w:hAnsi="Times New Roman Regular" w:eastAsia="宋体" w:cs="Times New Roman Regular"/>
          <w:sz w:val="21"/>
          <w:szCs w:val="21"/>
        </w:rPr>
        <w:t>的一般要求</w:t>
      </w:r>
      <w:r>
        <w:rPr>
          <w:rFonts w:hint="default" w:ascii="Times New Roman Regular" w:hAnsi="Times New Roman Regular" w:eastAsia="宋体" w:cs="Times New Roman Regular"/>
          <w:sz w:val="21"/>
          <w:szCs w:val="21"/>
          <w:lang w:eastAsia="zh-CN"/>
        </w:rPr>
        <w:t>、</w:t>
      </w:r>
      <w:r>
        <w:rPr>
          <w:rFonts w:hint="default" w:ascii="Times New Roman Regular" w:hAnsi="Times New Roman Regular" w:eastAsia="宋体" w:cs="Times New Roman Regular"/>
          <w:sz w:val="21"/>
          <w:szCs w:val="21"/>
        </w:rPr>
        <w:t>技术要求和</w:t>
      </w:r>
      <w:r>
        <w:rPr>
          <w:rFonts w:hint="default" w:ascii="Times New Roman Regular" w:hAnsi="Times New Roman Regular" w:eastAsia="宋体" w:cs="Times New Roman Regular"/>
          <w:sz w:val="21"/>
          <w:szCs w:val="21"/>
          <w:lang w:val="en-US" w:eastAsia="zh-CN"/>
        </w:rPr>
        <w:t>特殊</w:t>
      </w:r>
      <w:r>
        <w:rPr>
          <w:rFonts w:hint="default" w:ascii="Times New Roman Regular" w:hAnsi="Times New Roman Regular" w:eastAsia="宋体" w:cs="Times New Roman Regular"/>
          <w:sz w:val="21"/>
          <w:szCs w:val="21"/>
        </w:rPr>
        <w:t>要求，在提高</w:t>
      </w:r>
      <w:r>
        <w:rPr>
          <w:rFonts w:hint="default" w:ascii="Times New Roman Regular" w:hAnsi="Times New Roman Regular" w:eastAsia="宋体" w:cs="Times New Roman Regular"/>
          <w:sz w:val="21"/>
          <w:szCs w:val="21"/>
          <w:lang w:val="en-US" w:eastAsia="zh-CN"/>
        </w:rPr>
        <w:t>采购</w:t>
      </w:r>
      <w:r>
        <w:rPr>
          <w:rFonts w:hint="default" w:ascii="Times New Roman Regular" w:hAnsi="Times New Roman Regular" w:eastAsia="宋体" w:cs="Times New Roman Regular"/>
          <w:sz w:val="21"/>
          <w:szCs w:val="21"/>
        </w:rPr>
        <w:t>效率、</w:t>
      </w:r>
      <w:r>
        <w:rPr>
          <w:rFonts w:hint="default" w:ascii="Times New Roman Regular" w:hAnsi="Times New Roman Regular" w:eastAsia="宋体" w:cs="Times New Roman Regular"/>
          <w:sz w:val="21"/>
          <w:szCs w:val="21"/>
          <w:lang w:val="en-US" w:eastAsia="zh-CN"/>
        </w:rPr>
        <w:t>降低采购成本</w:t>
      </w:r>
      <w:r>
        <w:rPr>
          <w:rFonts w:hint="default" w:ascii="Times New Roman Regular" w:hAnsi="Times New Roman Regular" w:eastAsia="宋体" w:cs="Times New Roman Regular"/>
          <w:sz w:val="21"/>
          <w:szCs w:val="21"/>
        </w:rPr>
        <w:t>等方面具有较强的可操作性。</w:t>
      </w:r>
    </w:p>
    <w:p w14:paraId="217956FD">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eastAsia" w:ascii="黑体" w:hAnsi="黑体" w:eastAsia="黑体" w:cs="黑体"/>
          <w:b w:val="0"/>
          <w:bCs/>
          <w:sz w:val="28"/>
          <w:szCs w:val="28"/>
          <w:lang w:val="en-US" w:eastAsia="zh-CN"/>
        </w:rPr>
      </w:pPr>
      <w:bookmarkStart w:id="131" w:name="_Toc9905"/>
      <w:bookmarkStart w:id="132" w:name="_Toc21031"/>
      <w:bookmarkStart w:id="133" w:name="_Toc6290"/>
      <w:bookmarkStart w:id="134" w:name="_Toc20175"/>
      <w:bookmarkStart w:id="135" w:name="_Toc3759"/>
      <w:bookmarkStart w:id="136" w:name="_Toc10968"/>
      <w:bookmarkStart w:id="137" w:name="_Toc1810"/>
      <w:bookmarkStart w:id="138" w:name="_Toc23960"/>
      <w:bookmarkStart w:id="139" w:name="_Toc2701"/>
      <w:bookmarkStart w:id="140" w:name="_Toc16282"/>
      <w:bookmarkStart w:id="141" w:name="_Toc28592"/>
      <w:bookmarkStart w:id="142" w:name="_Toc523359137"/>
      <w:bookmarkStart w:id="143" w:name="_Toc2128375882"/>
      <w:r>
        <w:rPr>
          <w:rFonts w:hint="eastAsia" w:ascii="黑体" w:hAnsi="黑体" w:eastAsia="黑体" w:cs="黑体"/>
          <w:b w:val="0"/>
          <w:bCs/>
          <w:sz w:val="28"/>
          <w:szCs w:val="28"/>
          <w:lang w:val="en-US" w:eastAsia="zh-CN"/>
        </w:rPr>
        <w:t>标准主要内容</w:t>
      </w:r>
      <w:bookmarkEnd w:id="131"/>
      <w:bookmarkEnd w:id="132"/>
      <w:bookmarkEnd w:id="133"/>
      <w:bookmarkEnd w:id="134"/>
      <w:bookmarkEnd w:id="135"/>
      <w:bookmarkEnd w:id="136"/>
      <w:bookmarkEnd w:id="137"/>
      <w:bookmarkEnd w:id="138"/>
      <w:bookmarkEnd w:id="139"/>
      <w:bookmarkEnd w:id="140"/>
      <w:bookmarkEnd w:id="141"/>
      <w:r>
        <w:rPr>
          <w:rFonts w:hint="eastAsia" w:ascii="黑体" w:hAnsi="黑体" w:eastAsia="黑体" w:cs="黑体"/>
          <w:b w:val="0"/>
          <w:bCs/>
          <w:sz w:val="28"/>
          <w:szCs w:val="28"/>
          <w:lang w:val="en-US" w:eastAsia="zh-CN"/>
        </w:rPr>
        <w:t>及编制特点</w:t>
      </w:r>
      <w:bookmarkEnd w:id="142"/>
      <w:bookmarkEnd w:id="143"/>
    </w:p>
    <w:p w14:paraId="06D19583">
      <w:pPr>
        <w:keepNext w:val="0"/>
        <w:keepLines w:val="0"/>
        <w:pageBreakBefore w:val="0"/>
        <w:numPr>
          <w:ilvl w:val="0"/>
          <w:numId w:val="15"/>
        </w:numPr>
        <w:kinsoku/>
        <w:wordWrap/>
        <w:overflowPunct/>
        <w:topLinePunct w:val="0"/>
        <w:autoSpaceDE/>
        <w:autoSpaceDN/>
        <w:bidi w:val="0"/>
        <w:adjustRightInd/>
        <w:snapToGrid/>
        <w:spacing w:before="157" w:beforeLines="50" w:after="157" w:afterLines="50" w:line="360" w:lineRule="auto"/>
        <w:ind w:leftChars="0" w:firstLine="480" w:firstLineChars="200"/>
        <w:textAlignment w:val="auto"/>
        <w:outlineLvl w:val="1"/>
        <w:rPr>
          <w:rFonts w:hint="eastAsia" w:ascii="黑体" w:hAnsi="黑体" w:eastAsia="黑体" w:cs="黑体"/>
          <w:b w:val="0"/>
          <w:bCs w:val="0"/>
          <w:color w:val="000000" w:themeColor="text1"/>
          <w:sz w:val="24"/>
          <w:szCs w:val="24"/>
          <w14:textFill>
            <w14:solidFill>
              <w14:schemeClr w14:val="tx1"/>
            </w14:solidFill>
          </w14:textFill>
        </w:rPr>
      </w:pPr>
      <w:bookmarkStart w:id="144" w:name="_Toc978340695"/>
      <w:bookmarkStart w:id="145" w:name="_Toc3997447"/>
      <w:bookmarkStart w:id="146" w:name="_Toc2017"/>
      <w:bookmarkStart w:id="147" w:name="_Toc1178"/>
      <w:bookmarkStart w:id="148" w:name="_Toc14559"/>
      <w:bookmarkStart w:id="149" w:name="_Toc11516"/>
      <w:bookmarkStart w:id="150" w:name="_Toc10765"/>
      <w:bookmarkStart w:id="151" w:name="_Toc5227"/>
      <w:r>
        <w:rPr>
          <w:rFonts w:hint="eastAsia" w:ascii="黑体" w:hAnsi="黑体" w:eastAsia="黑体" w:cs="黑体"/>
          <w:b w:val="0"/>
          <w:bCs w:val="0"/>
          <w:color w:val="000000" w:themeColor="text1"/>
          <w:sz w:val="24"/>
          <w:szCs w:val="24"/>
          <w:lang w:val="en-US" w:eastAsia="zh-CN"/>
          <w14:textFill>
            <w14:solidFill>
              <w14:schemeClr w14:val="tx1"/>
            </w14:solidFill>
          </w14:textFill>
        </w:rPr>
        <w:t>主要内容</w:t>
      </w:r>
      <w:bookmarkEnd w:id="144"/>
      <w:bookmarkEnd w:id="145"/>
    </w:p>
    <w:p w14:paraId="0008E1C7">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eastAsia" w:ascii="Times New Roman Regular" w:hAnsi="Times New Roman Regular" w:eastAsia="宋体" w:cs="Times New Roman Regular"/>
          <w:b/>
          <w:bCs/>
          <w:kern w:val="2"/>
          <w:sz w:val="21"/>
          <w:szCs w:val="21"/>
          <w:lang w:val="en-US" w:eastAsia="zh-CN"/>
        </w:rPr>
      </w:pPr>
      <w:bookmarkStart w:id="152" w:name="_Toc613098672"/>
      <w:bookmarkStart w:id="153" w:name="_Toc1837259433"/>
      <w:r>
        <w:rPr>
          <w:rFonts w:hint="eastAsia" w:ascii="Times New Roman Regular" w:hAnsi="Times New Roman Regular" w:eastAsia="宋体" w:cs="Times New Roman Regular"/>
          <w:b/>
          <w:bCs/>
          <w:kern w:val="2"/>
          <w:sz w:val="21"/>
          <w:szCs w:val="21"/>
          <w:lang w:val="en-US" w:eastAsia="zh-CN"/>
        </w:rPr>
        <w:t>范围</w:t>
      </w:r>
      <w:bookmarkEnd w:id="146"/>
      <w:bookmarkEnd w:id="147"/>
      <w:bookmarkEnd w:id="148"/>
      <w:bookmarkEnd w:id="149"/>
      <w:bookmarkEnd w:id="150"/>
      <w:bookmarkEnd w:id="151"/>
      <w:bookmarkEnd w:id="152"/>
      <w:bookmarkEnd w:id="153"/>
    </w:p>
    <w:p w14:paraId="02A4F5BE">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bookmarkStart w:id="154" w:name="_Toc31433"/>
      <w:bookmarkStart w:id="155" w:name="_Toc19290"/>
      <w:bookmarkStart w:id="156" w:name="_Toc970"/>
      <w:bookmarkStart w:id="157" w:name="_Toc25529"/>
      <w:bookmarkStart w:id="158" w:name="_Toc8409"/>
      <w:bookmarkStart w:id="159" w:name="_Toc23273"/>
      <w:r>
        <w:rPr>
          <w:rFonts w:hint="default" w:ascii="Times New Roman Regular" w:hAnsi="Times New Roman Regular" w:eastAsia="宋体" w:cs="Times New Roman Regular"/>
          <w:b w:val="0"/>
          <w:bCs w:val="0"/>
          <w:kern w:val="0"/>
          <w:sz w:val="21"/>
          <w:szCs w:val="21"/>
          <w:lang w:val="en-US" w:eastAsia="zh-CN"/>
        </w:rPr>
        <w:t>本文件规定了</w:t>
      </w:r>
      <w:r>
        <w:rPr>
          <w:rFonts w:hint="eastAsia" w:ascii="Times New Roman Regular" w:hAnsi="Times New Roman Regular" w:eastAsia="宋体" w:cs="Times New Roman Regular"/>
          <w:spacing w:val="-1"/>
          <w:sz w:val="21"/>
          <w:szCs w:val="21"/>
          <w:lang w:val="en-US" w:eastAsia="zh-CN"/>
        </w:rPr>
        <w:t>海底电力电缆（</w:t>
      </w:r>
      <w:r>
        <w:rPr>
          <w:rFonts w:hint="default" w:ascii="Times New Roman Regular" w:hAnsi="Times New Roman Regular" w:eastAsia="宋体" w:cs="Times New Roman Regular"/>
          <w:spacing w:val="-1"/>
          <w:sz w:val="21"/>
          <w:szCs w:val="21"/>
          <w:lang w:val="en-US" w:eastAsia="zh-CN"/>
        </w:rPr>
        <w:t>6</w:t>
      </w:r>
      <w:r>
        <w:rPr>
          <w:rFonts w:hint="default" w:ascii="Times New Roman Regular" w:hAnsi="Times New Roman Regular" w:eastAsia="宋体" w:cs="Times New Roman Regular"/>
          <w:spacing w:val="-1"/>
          <w:sz w:val="10"/>
          <w:szCs w:val="10"/>
          <w:lang w:val="en-US" w:eastAsia="zh-CN"/>
        </w:rPr>
        <w:t xml:space="preserve"> </w:t>
      </w:r>
      <w:r>
        <w:rPr>
          <w:rFonts w:hint="default" w:ascii="Times New Roman Regular" w:hAnsi="Times New Roman Regular" w:eastAsia="宋体" w:cs="Times New Roman Regular"/>
          <w:b w:val="0"/>
          <w:bCs w:val="0"/>
          <w:kern w:val="0"/>
          <w:sz w:val="21"/>
          <w:szCs w:val="21"/>
          <w:u w:val="none"/>
          <w:lang w:val="en-US" w:eastAsia="zh-CN"/>
        </w:rPr>
        <w:t>kV</w:t>
      </w:r>
      <w:r>
        <w:rPr>
          <w:rFonts w:hint="eastAsia" w:ascii="Times New Roman Regular" w:hAnsi="Times New Roman Regular" w:eastAsia="宋体" w:cs="Times New Roman Regular"/>
          <w:spacing w:val="-1"/>
          <w:sz w:val="21"/>
          <w:szCs w:val="21"/>
          <w:lang w:val="en-US" w:eastAsia="zh-CN"/>
        </w:rPr>
        <w:t>~</w:t>
      </w:r>
      <w:r>
        <w:rPr>
          <w:rFonts w:hint="default" w:ascii="Times New Roman Regular" w:hAnsi="Times New Roman Regular" w:eastAsia="宋体" w:cs="Times New Roman Regular"/>
          <w:spacing w:val="-1"/>
          <w:sz w:val="21"/>
          <w:szCs w:val="21"/>
          <w:lang w:val="en-US" w:eastAsia="zh-CN"/>
        </w:rPr>
        <w:t>35</w:t>
      </w:r>
      <w:r>
        <w:rPr>
          <w:rFonts w:hint="default" w:ascii="Times New Roman Regular" w:hAnsi="Times New Roman Regular" w:eastAsia="宋体" w:cs="Times New Roman Regular"/>
          <w:spacing w:val="-1"/>
          <w:sz w:val="10"/>
          <w:szCs w:val="10"/>
          <w:lang w:val="en-US" w:eastAsia="zh-CN"/>
        </w:rPr>
        <w:t xml:space="preserve"> </w:t>
      </w:r>
      <w:r>
        <w:rPr>
          <w:rFonts w:hint="default" w:ascii="Times New Roman Regular" w:hAnsi="Times New Roman Regular" w:eastAsia="宋体" w:cs="Times New Roman Regular"/>
          <w:b w:val="0"/>
          <w:bCs w:val="0"/>
          <w:kern w:val="0"/>
          <w:sz w:val="21"/>
          <w:szCs w:val="21"/>
          <w:u w:val="none"/>
          <w:lang w:val="en-US" w:eastAsia="zh-CN"/>
        </w:rPr>
        <w:t>kV</w:t>
      </w:r>
      <w:r>
        <w:rPr>
          <w:rFonts w:hint="eastAsia" w:ascii="Times New Roman Regular" w:hAnsi="Times New Roman Regular" w:eastAsia="宋体" w:cs="Times New Roman Regular"/>
          <w:spacing w:val="-1"/>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招标采购的</w:t>
      </w:r>
      <w:r>
        <w:rPr>
          <w:rFonts w:hint="eastAsia" w:ascii="宋体" w:hAnsi="宋体" w:eastAsia="宋体" w:cs="宋体"/>
          <w:b w:val="0"/>
          <w:bCs w:val="0"/>
          <w:kern w:val="0"/>
          <w:sz w:val="21"/>
          <w:szCs w:val="21"/>
          <w:lang w:val="en-US" w:eastAsia="zh-CN"/>
        </w:rPr>
        <w:t>总体要求、通用技术规范</w:t>
      </w:r>
      <w:r>
        <w:rPr>
          <w:rFonts w:hint="eastAsia" w:ascii="宋体" w:hAnsi="宋体" w:eastAsia="宋体" w:cs="宋体"/>
          <w:spacing w:val="-1"/>
          <w:sz w:val="21"/>
          <w:szCs w:val="21"/>
        </w:rPr>
        <w:t>（</w:t>
      </w:r>
      <w:r>
        <w:rPr>
          <w:rFonts w:hint="eastAsia" w:ascii="宋体" w:hAnsi="宋体" w:eastAsia="宋体" w:cs="宋体"/>
          <w:b w:val="0"/>
          <w:bCs w:val="0"/>
          <w:kern w:val="0"/>
          <w:sz w:val="21"/>
          <w:szCs w:val="21"/>
          <w:lang w:val="en-US" w:eastAsia="zh-CN"/>
        </w:rPr>
        <w:t>产品结构和性能要求、检测和试验、现场服务、工厂检验、监造及验收、产品标志、包装、运输和保管、投标时应提供的其他材料）和专用技术规范</w:t>
      </w:r>
      <w:r>
        <w:rPr>
          <w:rFonts w:hint="eastAsia" w:ascii="宋体" w:hAnsi="宋体" w:eastAsia="宋体" w:cs="宋体"/>
          <w:spacing w:val="-1"/>
          <w:sz w:val="21"/>
          <w:szCs w:val="21"/>
        </w:rPr>
        <w:t>（</w:t>
      </w:r>
      <w:r>
        <w:rPr>
          <w:rFonts w:hint="eastAsia" w:ascii="宋体" w:hAnsi="宋体" w:eastAsia="宋体" w:cs="宋体"/>
          <w:b w:val="0"/>
          <w:bCs w:val="0"/>
          <w:kern w:val="0"/>
          <w:sz w:val="21"/>
          <w:szCs w:val="21"/>
          <w:lang w:val="en-US" w:eastAsia="zh-CN"/>
        </w:rPr>
        <w:t>工程概况及使用条件、项目需求部分、技术参数和性能要求、供应商响应部分）等内容。</w:t>
      </w:r>
    </w:p>
    <w:p w14:paraId="198F33E6">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本文件适用于</w:t>
      </w:r>
      <w:r>
        <w:rPr>
          <w:rFonts w:hint="default" w:ascii="Times New Roman" w:hAnsi="Times New Roman" w:eastAsia="宋体" w:cs="Times New Roman"/>
          <w:b w:val="0"/>
          <w:bCs w:val="0"/>
          <w:kern w:val="0"/>
          <w:sz w:val="21"/>
          <w:szCs w:val="21"/>
          <w:lang w:val="en-US" w:eastAsia="zh-CN"/>
        </w:rPr>
        <w:t>额定电压</w:t>
      </w:r>
      <w:r>
        <w:rPr>
          <w:rFonts w:hint="default" w:ascii="Times New Roman Regular" w:hAnsi="Times New Roman Regular" w:eastAsia="宋体" w:cs="Times New Roman Regular"/>
          <w:spacing w:val="-1"/>
          <w:sz w:val="21"/>
          <w:szCs w:val="21"/>
          <w:lang w:val="en-US" w:eastAsia="zh-CN"/>
        </w:rPr>
        <w:t>6</w:t>
      </w:r>
      <w:r>
        <w:rPr>
          <w:rFonts w:hint="default" w:ascii="Times New Roman Regular" w:hAnsi="Times New Roman Regular" w:eastAsia="宋体" w:cs="Times New Roman Regular"/>
          <w:spacing w:val="-1"/>
          <w:sz w:val="10"/>
          <w:szCs w:val="10"/>
          <w:lang w:val="en-US" w:eastAsia="zh-CN"/>
        </w:rPr>
        <w:t xml:space="preserve"> </w:t>
      </w:r>
      <w:r>
        <w:rPr>
          <w:rFonts w:hint="default" w:ascii="Times New Roman Regular" w:hAnsi="Times New Roman Regular" w:eastAsia="宋体" w:cs="Times New Roman Regular"/>
          <w:b w:val="0"/>
          <w:bCs w:val="0"/>
          <w:kern w:val="0"/>
          <w:sz w:val="21"/>
          <w:szCs w:val="21"/>
          <w:u w:val="none"/>
          <w:lang w:val="en-US" w:eastAsia="zh-CN"/>
        </w:rPr>
        <w:t>kV</w:t>
      </w:r>
      <w:r>
        <w:rPr>
          <w:rFonts w:hint="default" w:ascii="Times New Roman" w:hAnsi="Times New Roman" w:eastAsia="宋体" w:cs="Times New Roman"/>
          <w:b w:val="0"/>
          <w:bCs w:val="0"/>
          <w:kern w:val="0"/>
          <w:sz w:val="21"/>
          <w:szCs w:val="21"/>
          <w:lang w:val="en-US" w:eastAsia="zh-CN"/>
        </w:rPr>
        <w:t>（</w:t>
      </w:r>
      <w:r>
        <w:rPr>
          <w:rFonts w:hint="default" w:ascii="Times New Roman" w:hAnsi="Times New Roman" w:eastAsia="宋体" w:cs="Times New Roman"/>
          <w:b w:val="0"/>
          <w:bCs w:val="0"/>
          <w:i/>
          <w:iCs/>
          <w:kern w:val="0"/>
          <w:sz w:val="21"/>
          <w:szCs w:val="21"/>
          <w:lang w:val="en-US" w:eastAsia="zh-CN"/>
        </w:rPr>
        <w:t>U</w:t>
      </w:r>
      <w:r>
        <w:rPr>
          <w:rFonts w:hint="default" w:ascii="Times New Roman" w:hAnsi="Times New Roman" w:eastAsia="宋体" w:cs="Times New Roman"/>
          <w:b w:val="0"/>
          <w:bCs w:val="0"/>
          <w:kern w:val="0"/>
          <w:sz w:val="21"/>
          <w:szCs w:val="21"/>
          <w:vertAlign w:val="subscript"/>
          <w:lang w:val="en-US" w:eastAsia="zh-CN"/>
        </w:rPr>
        <w:t>m</w:t>
      </w:r>
      <w:r>
        <w:rPr>
          <w:rFonts w:hint="default" w:ascii="Times New Roman" w:hAnsi="Times New Roman" w:eastAsia="宋体" w:cs="Times New Roman"/>
          <w:b w:val="0"/>
          <w:bCs w:val="0"/>
          <w:kern w:val="0"/>
          <w:sz w:val="21"/>
          <w:szCs w:val="21"/>
          <w:lang w:val="en-US" w:eastAsia="zh-CN"/>
        </w:rPr>
        <w:t>=</w:t>
      </w:r>
      <w:r>
        <w:rPr>
          <w:rFonts w:hint="eastAsia" w:ascii="Times New Roman" w:hAnsi="Times New Roman" w:eastAsia="宋体" w:cs="Times New Roman"/>
          <w:b w:val="0"/>
          <w:bCs w:val="0"/>
          <w:kern w:val="0"/>
          <w:sz w:val="21"/>
          <w:szCs w:val="21"/>
          <w:lang w:val="en-US" w:eastAsia="zh-CN"/>
        </w:rPr>
        <w:t>7</w:t>
      </w:r>
      <w:r>
        <w:rPr>
          <w:rFonts w:hint="default" w:ascii="Times New Roman" w:hAnsi="Times New Roman" w:eastAsia="宋体" w:cs="Times New Roman"/>
          <w:b w:val="0"/>
          <w:bCs w:val="0"/>
          <w:kern w:val="0"/>
          <w:sz w:val="21"/>
          <w:szCs w:val="21"/>
          <w:lang w:val="en-US" w:eastAsia="zh-CN"/>
        </w:rPr>
        <w:t>.2</w:t>
      </w:r>
      <w:r>
        <w:rPr>
          <w:rFonts w:hint="default" w:ascii="Times New Roman" w:hAnsi="Times New Roman" w:eastAsia="宋体" w:cs="Times New Roman"/>
          <w:b w:val="0"/>
          <w:bCs w:val="0"/>
          <w:sz w:val="10"/>
          <w:szCs w:val="10"/>
          <w:lang w:val="en-US" w:eastAsia="zh-CN"/>
        </w:rPr>
        <w:t xml:space="preserve"> </w:t>
      </w:r>
      <w:r>
        <w:rPr>
          <w:rFonts w:hint="default" w:ascii="Times New Roman" w:hAnsi="Times New Roman" w:eastAsia="宋体" w:cs="Times New Roman"/>
          <w:b w:val="0"/>
          <w:bCs w:val="0"/>
          <w:kern w:val="0"/>
          <w:sz w:val="21"/>
          <w:szCs w:val="21"/>
          <w:lang w:val="en-US" w:eastAsia="zh-CN"/>
        </w:rPr>
        <w:t>kV）</w:t>
      </w:r>
      <w:r>
        <w:rPr>
          <w:rFonts w:hint="eastAsia" w:ascii="Times New Roman Regular" w:hAnsi="Times New Roman Regular" w:eastAsia="宋体" w:cs="Times New Roman Regular"/>
          <w:spacing w:val="-1"/>
          <w:sz w:val="21"/>
          <w:szCs w:val="21"/>
          <w:lang w:val="en-US" w:eastAsia="zh-CN"/>
        </w:rPr>
        <w:t>~</w:t>
      </w:r>
      <w:r>
        <w:rPr>
          <w:rFonts w:hint="default" w:ascii="Times New Roman Regular" w:hAnsi="Times New Roman Regular" w:eastAsia="宋体" w:cs="Times New Roman Regular"/>
          <w:spacing w:val="-1"/>
          <w:sz w:val="21"/>
          <w:szCs w:val="21"/>
          <w:lang w:val="en-US" w:eastAsia="zh-CN"/>
        </w:rPr>
        <w:t>35</w:t>
      </w:r>
      <w:r>
        <w:rPr>
          <w:rFonts w:hint="default" w:ascii="Times New Roman Regular" w:hAnsi="Times New Roman Regular" w:eastAsia="宋体" w:cs="Times New Roman Regular"/>
          <w:spacing w:val="-1"/>
          <w:sz w:val="10"/>
          <w:szCs w:val="10"/>
          <w:lang w:val="en-US" w:eastAsia="zh-CN"/>
        </w:rPr>
        <w:t xml:space="preserve"> </w:t>
      </w:r>
      <w:r>
        <w:rPr>
          <w:rFonts w:hint="default" w:ascii="Times New Roman Regular" w:hAnsi="Times New Roman Regular" w:eastAsia="宋体" w:cs="Times New Roman Regular"/>
          <w:b w:val="0"/>
          <w:bCs w:val="0"/>
          <w:kern w:val="0"/>
          <w:sz w:val="21"/>
          <w:szCs w:val="21"/>
          <w:u w:val="none"/>
          <w:lang w:val="en-US" w:eastAsia="zh-CN"/>
        </w:rPr>
        <w:t>kV</w:t>
      </w:r>
      <w:r>
        <w:rPr>
          <w:rFonts w:hint="default" w:ascii="Times New Roman" w:hAnsi="Times New Roman" w:eastAsia="宋体" w:cs="Times New Roman"/>
          <w:b w:val="0"/>
          <w:bCs w:val="0"/>
          <w:kern w:val="0"/>
          <w:sz w:val="21"/>
          <w:szCs w:val="21"/>
          <w:lang w:val="en-US" w:eastAsia="zh-CN"/>
        </w:rPr>
        <w:t>（</w:t>
      </w:r>
      <w:r>
        <w:rPr>
          <w:rFonts w:hint="default" w:ascii="Times New Roman" w:hAnsi="Times New Roman" w:eastAsia="宋体" w:cs="Times New Roman"/>
          <w:b w:val="0"/>
          <w:bCs w:val="0"/>
          <w:i/>
          <w:iCs/>
          <w:kern w:val="0"/>
          <w:sz w:val="21"/>
          <w:szCs w:val="21"/>
          <w:lang w:val="en-US" w:eastAsia="zh-CN"/>
        </w:rPr>
        <w:t>U</w:t>
      </w:r>
      <w:r>
        <w:rPr>
          <w:rFonts w:hint="default" w:ascii="Times New Roman" w:hAnsi="Times New Roman" w:eastAsia="宋体" w:cs="Times New Roman"/>
          <w:b w:val="0"/>
          <w:bCs w:val="0"/>
          <w:i w:val="0"/>
          <w:iCs w:val="0"/>
          <w:kern w:val="0"/>
          <w:sz w:val="21"/>
          <w:szCs w:val="21"/>
          <w:vertAlign w:val="subscript"/>
          <w:lang w:val="en-US" w:eastAsia="zh-CN"/>
        </w:rPr>
        <w:t>m</w:t>
      </w:r>
      <w:r>
        <w:rPr>
          <w:rFonts w:hint="default" w:ascii="Times New Roman" w:hAnsi="Times New Roman" w:eastAsia="宋体" w:cs="Times New Roman"/>
          <w:b w:val="0"/>
          <w:bCs w:val="0"/>
          <w:kern w:val="0"/>
          <w:sz w:val="21"/>
          <w:szCs w:val="21"/>
          <w:lang w:val="en-US" w:eastAsia="zh-CN"/>
        </w:rPr>
        <w:t>=40.5</w:t>
      </w:r>
      <w:r>
        <w:rPr>
          <w:rFonts w:hint="default" w:ascii="Times New Roman" w:hAnsi="Times New Roman" w:eastAsia="宋体" w:cs="Times New Roman"/>
          <w:b w:val="0"/>
          <w:bCs w:val="0"/>
          <w:sz w:val="10"/>
          <w:szCs w:val="10"/>
          <w:lang w:val="en-US" w:eastAsia="zh-CN"/>
        </w:rPr>
        <w:t xml:space="preserve"> </w:t>
      </w:r>
      <w:r>
        <w:rPr>
          <w:rFonts w:hint="default" w:ascii="Times New Roman" w:hAnsi="Times New Roman" w:eastAsia="宋体" w:cs="Times New Roman"/>
          <w:b w:val="0"/>
          <w:bCs w:val="0"/>
          <w:kern w:val="0"/>
          <w:sz w:val="21"/>
          <w:szCs w:val="21"/>
          <w:lang w:val="en-US" w:eastAsia="zh-CN"/>
        </w:rPr>
        <w:t>kV）</w:t>
      </w:r>
      <w:r>
        <w:rPr>
          <w:rFonts w:hint="eastAsia" w:ascii="Times New Roman Regular" w:hAnsi="Times New Roman Regular" w:eastAsia="宋体" w:cs="Times New Roman Regular"/>
          <w:b w:val="0"/>
          <w:bCs w:val="0"/>
          <w:kern w:val="0"/>
          <w:sz w:val="21"/>
          <w:szCs w:val="21"/>
          <w:lang w:val="en-US" w:eastAsia="zh-CN"/>
        </w:rPr>
        <w:t>海底电力电缆</w:t>
      </w:r>
      <w:r>
        <w:rPr>
          <w:rFonts w:hint="default" w:ascii="Times New Roman Regular" w:hAnsi="Times New Roman Regular" w:eastAsia="宋体" w:cs="Times New Roman Regular"/>
          <w:b w:val="0"/>
          <w:bCs w:val="0"/>
          <w:kern w:val="0"/>
          <w:sz w:val="21"/>
          <w:szCs w:val="21"/>
          <w:lang w:val="en-US" w:eastAsia="zh-CN"/>
        </w:rPr>
        <w:t>招标采购</w:t>
      </w:r>
      <w:r>
        <w:rPr>
          <w:rFonts w:hint="eastAsia" w:ascii="宋体" w:hAnsi="宋体" w:eastAsia="宋体" w:cs="宋体"/>
          <w:b w:val="0"/>
          <w:bCs w:val="0"/>
          <w:kern w:val="0"/>
          <w:sz w:val="21"/>
          <w:szCs w:val="21"/>
          <w:lang w:val="en-US" w:eastAsia="zh-CN"/>
        </w:rPr>
        <w:t>活动，供招标采购人和供应商参考使用</w:t>
      </w:r>
      <w:r>
        <w:rPr>
          <w:rFonts w:hint="default" w:ascii="Times New Roman Regular" w:hAnsi="Times New Roman Regular" w:eastAsia="宋体" w:cs="Times New Roman Regular"/>
          <w:b w:val="0"/>
          <w:bCs w:val="0"/>
          <w:kern w:val="0"/>
          <w:sz w:val="21"/>
          <w:szCs w:val="21"/>
          <w:lang w:val="en-US" w:eastAsia="zh-CN"/>
        </w:rPr>
        <w:t>。</w:t>
      </w:r>
    </w:p>
    <w:p w14:paraId="79449E5D">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60" w:name="_Toc151930218"/>
      <w:bookmarkStart w:id="161" w:name="_Toc722841998"/>
      <w:r>
        <w:rPr>
          <w:rFonts w:hint="default" w:ascii="Times New Roman Regular" w:hAnsi="Times New Roman Regular" w:eastAsia="宋体" w:cs="Times New Roman Regular"/>
          <w:b/>
          <w:bCs/>
          <w:kern w:val="2"/>
          <w:sz w:val="21"/>
          <w:szCs w:val="21"/>
          <w:lang w:val="en-US" w:eastAsia="zh-CN"/>
        </w:rPr>
        <w:t>规范性引用文件</w:t>
      </w:r>
      <w:bookmarkEnd w:id="154"/>
      <w:bookmarkEnd w:id="155"/>
      <w:bookmarkEnd w:id="156"/>
      <w:bookmarkEnd w:id="157"/>
      <w:bookmarkEnd w:id="158"/>
      <w:bookmarkEnd w:id="159"/>
      <w:bookmarkEnd w:id="160"/>
      <w:bookmarkEnd w:id="161"/>
    </w:p>
    <w:p w14:paraId="116354E1">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b w:val="0"/>
          <w:bCs w:val="0"/>
          <w:sz w:val="21"/>
          <w:szCs w:val="21"/>
          <w:lang w:val="en-US" w:eastAsia="zh-CN"/>
        </w:rPr>
      </w:pPr>
      <w:r>
        <w:rPr>
          <w:rFonts w:hint="default" w:ascii="Times New Roman Regular" w:hAnsi="Times New Roman Regular" w:eastAsia="宋体" w:cs="Times New Roman Regular"/>
          <w:b w:val="0"/>
          <w:bCs w:val="0"/>
          <w:sz w:val="21"/>
          <w:szCs w:val="21"/>
          <w:lang w:eastAsia="zh-CN"/>
        </w:rPr>
        <w:t>本部分列明了规范中引用的标准</w:t>
      </w:r>
      <w:r>
        <w:rPr>
          <w:rFonts w:hint="default" w:ascii="Times New Roman Regular" w:hAnsi="Times New Roman Regular" w:eastAsia="宋体" w:cs="Times New Roman Regular"/>
          <w:b w:val="0"/>
          <w:bCs w:val="0"/>
          <w:sz w:val="21"/>
          <w:szCs w:val="21"/>
          <w:lang w:val="en-US" w:eastAsia="zh-CN"/>
        </w:rPr>
        <w:t>文件。</w:t>
      </w:r>
    </w:p>
    <w:p w14:paraId="5AE93EA8">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b w:val="0"/>
          <w:bCs w:val="0"/>
          <w:sz w:val="21"/>
          <w:szCs w:val="21"/>
          <w:lang w:eastAsia="zh-CN"/>
        </w:rPr>
      </w:pPr>
      <w:r>
        <w:rPr>
          <w:rFonts w:hint="default" w:ascii="Times New Roman Regular" w:hAnsi="Times New Roman Regular" w:eastAsia="宋体" w:cs="Times New Roman Regular"/>
          <w:b w:val="0"/>
          <w:bCs w:val="0"/>
          <w:sz w:val="21"/>
          <w:szCs w:val="21"/>
          <w:lang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74500528">
      <w:pPr>
        <w:widowControl w:val="0"/>
        <w:kinsoku/>
        <w:autoSpaceDE/>
        <w:autoSpaceDN/>
        <w:adjustRightInd/>
        <w:snapToGrid/>
        <w:spacing w:line="360" w:lineRule="auto"/>
        <w:ind w:firstLine="412" w:firstLineChars="200"/>
        <w:textAlignment w:val="auto"/>
        <w:rPr>
          <w:rFonts w:hint="eastAsia" w:ascii="Times New Roman Regular" w:hAnsi="Times New Roman Regular" w:eastAsia="宋体" w:cs="Times New Roman Regular"/>
          <w:spacing w:val="-2"/>
          <w:szCs w:val="21"/>
          <w:lang w:val="en-US" w:eastAsia="zh-CN"/>
        </w:rPr>
      </w:pPr>
      <w:r>
        <w:rPr>
          <w:rFonts w:hint="default" w:ascii="Times New Roman Regular" w:hAnsi="Times New Roman Regular" w:eastAsia="宋体" w:cs="Times New Roman Regular"/>
          <w:spacing w:val="-2"/>
          <w:szCs w:val="21"/>
          <w:lang w:val="en-US" w:eastAsia="en-US"/>
        </w:rPr>
        <w:t xml:space="preserve">GB/T </w:t>
      </w:r>
      <w:r>
        <w:rPr>
          <w:rFonts w:hint="eastAsia" w:ascii="Times New Roman Regular" w:hAnsi="Times New Roman Regular" w:eastAsia="宋体" w:cs="Times New Roman Regular"/>
          <w:spacing w:val="-2"/>
          <w:szCs w:val="21"/>
          <w:lang w:val="en-US" w:eastAsia="zh-CN"/>
        </w:rPr>
        <w:t>2951.11  电缆和光缆绝缘和护套材料通用试验方法  第11部分：通用试验方法</w:t>
      </w:r>
      <w:r>
        <w:rPr>
          <w:rFonts w:hint="default" w:ascii="微软雅黑" w:hAnsi="微软雅黑" w:eastAsia="微软雅黑" w:cs="微软雅黑"/>
          <w:spacing w:val="-2"/>
          <w:szCs w:val="21"/>
          <w:lang w:val="en-US" w:eastAsia="zh-CN"/>
        </w:rPr>
        <w:t>——</w:t>
      </w:r>
      <w:r>
        <w:rPr>
          <w:rFonts w:hint="eastAsia" w:ascii="Times New Roman Regular" w:hAnsi="Times New Roman Regular" w:eastAsia="宋体" w:cs="Times New Roman Regular"/>
          <w:spacing w:val="-2"/>
          <w:szCs w:val="21"/>
          <w:lang w:val="en-US" w:eastAsia="zh-CN"/>
        </w:rPr>
        <w:t>厚度和外形尺寸测量</w:t>
      </w:r>
      <w:r>
        <w:rPr>
          <w:rFonts w:hint="default" w:ascii="微软雅黑" w:hAnsi="微软雅黑" w:eastAsia="微软雅黑" w:cs="微软雅黑"/>
          <w:spacing w:val="-2"/>
          <w:szCs w:val="21"/>
          <w:lang w:val="en-US" w:eastAsia="zh-CN"/>
        </w:rPr>
        <w:t>——</w:t>
      </w:r>
      <w:r>
        <w:rPr>
          <w:rFonts w:hint="eastAsia" w:ascii="Times New Roman Regular" w:hAnsi="Times New Roman Regular" w:eastAsia="宋体" w:cs="Times New Roman Regular"/>
          <w:spacing w:val="-2"/>
          <w:szCs w:val="21"/>
          <w:lang w:val="en-US" w:eastAsia="zh-CN"/>
        </w:rPr>
        <w:t>机械性能试验</w:t>
      </w:r>
    </w:p>
    <w:p w14:paraId="38958909">
      <w:pPr>
        <w:widowControl w:val="0"/>
        <w:numPr>
          <w:ilvl w:val="0"/>
          <w:numId w:val="0"/>
        </w:numPr>
        <w:tabs>
          <w:tab w:val="left" w:pos="420"/>
        </w:tabs>
        <w:kinsoku/>
        <w:autoSpaceDE/>
        <w:autoSpaceDN/>
        <w:adjustRightInd/>
        <w:snapToGrid/>
        <w:spacing w:line="360" w:lineRule="auto"/>
        <w:ind w:firstLine="420" w:firstLineChars="200"/>
        <w:jc w:val="left"/>
        <w:textAlignment w:val="auto"/>
        <w:rPr>
          <w:rFonts w:hint="default" w:ascii="Times New Roman" w:hAnsi="Times New Roman" w:eastAsia="宋体" w:cs="Times New Roman"/>
          <w:b w:val="0"/>
          <w:bCs w:val="0"/>
          <w:kern w:val="0"/>
          <w:sz w:val="21"/>
          <w:szCs w:val="21"/>
          <w:lang w:val="en-US" w:eastAsia="zh-CN"/>
        </w:rPr>
      </w:pPr>
      <w:r>
        <w:rPr>
          <w:rFonts w:hint="default" w:ascii="Times New Roman" w:hAnsi="Times New Roman" w:eastAsia="宋体" w:cs="Times New Roman"/>
          <w:b w:val="0"/>
          <w:bCs w:val="0"/>
          <w:kern w:val="0"/>
          <w:sz w:val="21"/>
          <w:szCs w:val="21"/>
          <w:lang w:val="en-US" w:eastAsia="zh-CN"/>
        </w:rPr>
        <w:t>GB/T 2951.21  电缆和光缆绝缘和护套材料通用试验方法  第21部分：弹性体混合料专用试验方法</w:t>
      </w:r>
      <w:r>
        <w:rPr>
          <w:rFonts w:hint="default" w:ascii="微软雅黑" w:hAnsi="微软雅黑" w:eastAsia="微软雅黑" w:cs="微软雅黑"/>
          <w:spacing w:val="-2"/>
          <w:szCs w:val="21"/>
          <w:lang w:val="en-US" w:eastAsia="zh-CN"/>
        </w:rPr>
        <w:t>——</w:t>
      </w:r>
      <w:r>
        <w:rPr>
          <w:rFonts w:hint="default" w:ascii="Times New Roman" w:hAnsi="Times New Roman" w:eastAsia="宋体" w:cs="Times New Roman"/>
          <w:b w:val="0"/>
          <w:bCs w:val="0"/>
          <w:kern w:val="0"/>
          <w:sz w:val="21"/>
          <w:szCs w:val="21"/>
          <w:lang w:val="en-US" w:eastAsia="zh-CN"/>
        </w:rPr>
        <w:t>耐臭氧试验</w:t>
      </w:r>
      <w:r>
        <w:rPr>
          <w:rFonts w:hint="default" w:ascii="微软雅黑" w:hAnsi="微软雅黑" w:eastAsia="微软雅黑" w:cs="微软雅黑"/>
          <w:spacing w:val="-2"/>
          <w:szCs w:val="21"/>
          <w:lang w:val="en-US" w:eastAsia="zh-CN"/>
        </w:rPr>
        <w:t>——</w:t>
      </w:r>
      <w:r>
        <w:rPr>
          <w:rFonts w:hint="default" w:ascii="Times New Roman" w:hAnsi="Times New Roman" w:eastAsia="宋体" w:cs="Times New Roman"/>
          <w:b w:val="0"/>
          <w:bCs w:val="0"/>
          <w:kern w:val="0"/>
          <w:sz w:val="21"/>
          <w:szCs w:val="21"/>
          <w:lang w:val="en-US" w:eastAsia="zh-CN"/>
        </w:rPr>
        <w:t>热延伸试验</w:t>
      </w:r>
      <w:r>
        <w:rPr>
          <w:rFonts w:hint="default" w:ascii="微软雅黑" w:hAnsi="微软雅黑" w:eastAsia="微软雅黑" w:cs="微软雅黑"/>
          <w:spacing w:val="-2"/>
          <w:szCs w:val="21"/>
          <w:lang w:val="en-US" w:eastAsia="zh-CN"/>
        </w:rPr>
        <w:t>——</w:t>
      </w:r>
      <w:r>
        <w:rPr>
          <w:rFonts w:hint="default" w:ascii="Times New Roman" w:hAnsi="Times New Roman" w:eastAsia="宋体" w:cs="Times New Roman"/>
          <w:b w:val="0"/>
          <w:bCs w:val="0"/>
          <w:kern w:val="0"/>
          <w:sz w:val="21"/>
          <w:szCs w:val="21"/>
          <w:lang w:val="en-US" w:eastAsia="zh-CN"/>
        </w:rPr>
        <w:t>浸矿物油试验</w:t>
      </w:r>
    </w:p>
    <w:p w14:paraId="51C1478E">
      <w:pPr>
        <w:widowControl w:val="0"/>
        <w:numPr>
          <w:ilvl w:val="0"/>
          <w:numId w:val="0"/>
        </w:numPr>
        <w:tabs>
          <w:tab w:val="left" w:pos="420"/>
        </w:tabs>
        <w:spacing w:line="360" w:lineRule="auto"/>
        <w:ind w:firstLine="420" w:firstLineChars="200"/>
        <w:jc w:val="left"/>
        <w:rPr>
          <w:rFonts w:hint="default" w:ascii="Times New Roman" w:hAnsi="Times New Roman" w:eastAsia="宋体" w:cs="Times New Roman"/>
          <w:b w:val="0"/>
          <w:bCs w:val="0"/>
          <w:kern w:val="0"/>
          <w:sz w:val="21"/>
          <w:szCs w:val="21"/>
          <w:lang w:val="en-US" w:eastAsia="zh-CN"/>
        </w:rPr>
      </w:pPr>
      <w:r>
        <w:rPr>
          <w:rFonts w:hint="default" w:ascii="Times New Roman" w:hAnsi="Times New Roman" w:eastAsia="宋体" w:cs="Times New Roman"/>
          <w:b w:val="0"/>
          <w:bCs w:val="0"/>
          <w:kern w:val="0"/>
          <w:sz w:val="21"/>
          <w:szCs w:val="21"/>
          <w:lang w:val="en-US" w:eastAsia="zh-CN"/>
        </w:rPr>
        <w:t>GB/T 3048.4  电线电缆电性能试验方法  第4部分：导体直流电阻试验</w:t>
      </w:r>
    </w:p>
    <w:p w14:paraId="3C8BBFB2">
      <w:pPr>
        <w:widowControl w:val="0"/>
        <w:numPr>
          <w:ilvl w:val="0"/>
          <w:numId w:val="0"/>
        </w:numPr>
        <w:tabs>
          <w:tab w:val="left" w:pos="420"/>
        </w:tabs>
        <w:spacing w:line="360" w:lineRule="auto"/>
        <w:ind w:firstLine="420" w:firstLineChars="200"/>
        <w:jc w:val="left"/>
        <w:rPr>
          <w:rFonts w:hint="default" w:ascii="Times New Roman" w:hAnsi="Times New Roman" w:eastAsia="宋体" w:cs="Times New Roman"/>
          <w:b w:val="0"/>
          <w:bCs w:val="0"/>
          <w:kern w:val="0"/>
          <w:sz w:val="21"/>
          <w:szCs w:val="21"/>
          <w:lang w:val="en-US" w:eastAsia="zh-CN"/>
        </w:rPr>
      </w:pPr>
      <w:r>
        <w:rPr>
          <w:rFonts w:hint="default" w:ascii="Times New Roman" w:hAnsi="Times New Roman" w:eastAsia="宋体" w:cs="Times New Roman"/>
          <w:b w:val="0"/>
          <w:bCs w:val="0"/>
          <w:kern w:val="0"/>
          <w:sz w:val="21"/>
          <w:szCs w:val="21"/>
          <w:lang w:val="en-US" w:eastAsia="zh-CN"/>
        </w:rPr>
        <w:t>GB/T 3048.</w:t>
      </w:r>
      <w:r>
        <w:rPr>
          <w:rFonts w:hint="eastAsia" w:ascii="Times New Roman" w:hAnsi="Times New Roman" w:eastAsia="宋体" w:cs="Times New Roman"/>
          <w:b w:val="0"/>
          <w:bCs w:val="0"/>
          <w:kern w:val="0"/>
          <w:sz w:val="21"/>
          <w:szCs w:val="21"/>
          <w:lang w:val="en-US" w:eastAsia="zh-CN"/>
        </w:rPr>
        <w:t>8</w:t>
      </w:r>
      <w:r>
        <w:rPr>
          <w:rFonts w:hint="default" w:ascii="Times New Roman" w:hAnsi="Times New Roman" w:eastAsia="宋体" w:cs="Times New Roman"/>
          <w:b w:val="0"/>
          <w:bCs w:val="0"/>
          <w:kern w:val="0"/>
          <w:sz w:val="21"/>
          <w:szCs w:val="21"/>
          <w:lang w:val="en-US" w:eastAsia="zh-CN"/>
        </w:rPr>
        <w:t xml:space="preserve">  电线电缆电性能试验方法  第</w:t>
      </w:r>
      <w:r>
        <w:rPr>
          <w:rFonts w:hint="eastAsia" w:ascii="Times New Roman" w:hAnsi="Times New Roman" w:eastAsia="宋体" w:cs="Times New Roman"/>
          <w:b w:val="0"/>
          <w:bCs w:val="0"/>
          <w:kern w:val="0"/>
          <w:sz w:val="21"/>
          <w:szCs w:val="21"/>
          <w:lang w:val="en-US" w:eastAsia="zh-CN"/>
        </w:rPr>
        <w:t>8</w:t>
      </w:r>
      <w:r>
        <w:rPr>
          <w:rFonts w:hint="default" w:ascii="Times New Roman" w:hAnsi="Times New Roman" w:eastAsia="宋体" w:cs="Times New Roman"/>
          <w:b w:val="0"/>
          <w:bCs w:val="0"/>
          <w:kern w:val="0"/>
          <w:sz w:val="21"/>
          <w:szCs w:val="21"/>
          <w:lang w:val="en-US" w:eastAsia="zh-CN"/>
        </w:rPr>
        <w:t>部分：</w:t>
      </w:r>
      <w:r>
        <w:rPr>
          <w:rFonts w:hint="eastAsia" w:ascii="Times New Roman" w:hAnsi="Times New Roman" w:eastAsia="宋体" w:cs="Times New Roman"/>
          <w:b w:val="0"/>
          <w:bCs w:val="0"/>
          <w:kern w:val="0"/>
          <w:sz w:val="21"/>
          <w:szCs w:val="21"/>
          <w:lang w:val="en-US" w:eastAsia="zh-CN"/>
        </w:rPr>
        <w:t>交流电压</w:t>
      </w:r>
      <w:r>
        <w:rPr>
          <w:rFonts w:hint="default" w:ascii="Times New Roman" w:hAnsi="Times New Roman" w:eastAsia="宋体" w:cs="Times New Roman"/>
          <w:b w:val="0"/>
          <w:bCs w:val="0"/>
          <w:kern w:val="0"/>
          <w:sz w:val="21"/>
          <w:szCs w:val="21"/>
          <w:lang w:val="en-US" w:eastAsia="zh-CN"/>
        </w:rPr>
        <w:t>试验</w:t>
      </w:r>
    </w:p>
    <w:p w14:paraId="4B84CC46">
      <w:pPr>
        <w:widowControl w:val="0"/>
        <w:numPr>
          <w:ilvl w:val="0"/>
          <w:numId w:val="0"/>
        </w:numPr>
        <w:tabs>
          <w:tab w:val="left" w:pos="420"/>
        </w:tabs>
        <w:spacing w:line="360" w:lineRule="auto"/>
        <w:ind w:firstLine="420" w:firstLineChars="200"/>
        <w:jc w:val="left"/>
        <w:rPr>
          <w:rFonts w:hint="eastAsia" w:ascii="Times New Roman" w:hAnsi="Times New Roman" w:eastAsia="宋体" w:cs="Times New Roman"/>
          <w:b w:val="0"/>
          <w:bCs w:val="0"/>
          <w:kern w:val="0"/>
          <w:sz w:val="21"/>
          <w:szCs w:val="21"/>
          <w:lang w:val="en-US" w:eastAsia="zh-CN"/>
        </w:rPr>
      </w:pPr>
      <w:r>
        <w:rPr>
          <w:rFonts w:hint="default" w:ascii="Times New Roman" w:hAnsi="Times New Roman" w:eastAsia="宋体" w:cs="Times New Roman"/>
          <w:b w:val="0"/>
          <w:bCs w:val="0"/>
          <w:kern w:val="0"/>
          <w:sz w:val="21"/>
          <w:szCs w:val="21"/>
          <w:lang w:val="en-US" w:eastAsia="zh-CN"/>
        </w:rPr>
        <w:t>GB/T 3048.</w:t>
      </w:r>
      <w:r>
        <w:rPr>
          <w:rFonts w:hint="eastAsia" w:ascii="Times New Roman" w:hAnsi="Times New Roman" w:eastAsia="宋体" w:cs="Times New Roman"/>
          <w:b w:val="0"/>
          <w:bCs w:val="0"/>
          <w:kern w:val="0"/>
          <w:sz w:val="21"/>
          <w:szCs w:val="21"/>
          <w:lang w:val="en-US" w:eastAsia="zh-CN"/>
        </w:rPr>
        <w:t>11</w:t>
      </w:r>
      <w:r>
        <w:rPr>
          <w:rFonts w:hint="default" w:ascii="Times New Roman" w:hAnsi="Times New Roman" w:eastAsia="宋体" w:cs="Times New Roman"/>
          <w:b w:val="0"/>
          <w:bCs w:val="0"/>
          <w:kern w:val="0"/>
          <w:sz w:val="21"/>
          <w:szCs w:val="21"/>
          <w:lang w:val="en-US" w:eastAsia="zh-CN"/>
        </w:rPr>
        <w:t xml:space="preserve">  电线电缆电性能试验方法  第</w:t>
      </w:r>
      <w:r>
        <w:rPr>
          <w:rFonts w:hint="eastAsia" w:ascii="Times New Roman" w:hAnsi="Times New Roman" w:eastAsia="宋体" w:cs="Times New Roman"/>
          <w:b w:val="0"/>
          <w:bCs w:val="0"/>
          <w:kern w:val="0"/>
          <w:sz w:val="21"/>
          <w:szCs w:val="21"/>
          <w:lang w:val="en-US" w:eastAsia="zh-CN"/>
        </w:rPr>
        <w:t>11</w:t>
      </w:r>
      <w:r>
        <w:rPr>
          <w:rFonts w:hint="default" w:ascii="Times New Roman" w:hAnsi="Times New Roman" w:eastAsia="宋体" w:cs="Times New Roman"/>
          <w:b w:val="0"/>
          <w:bCs w:val="0"/>
          <w:kern w:val="0"/>
          <w:sz w:val="21"/>
          <w:szCs w:val="21"/>
          <w:lang w:val="en-US" w:eastAsia="zh-CN"/>
        </w:rPr>
        <w:t>部分：</w:t>
      </w:r>
      <w:r>
        <w:rPr>
          <w:rFonts w:hint="eastAsia" w:ascii="Times New Roman" w:hAnsi="Times New Roman" w:eastAsia="宋体" w:cs="Times New Roman"/>
          <w:b w:val="0"/>
          <w:bCs w:val="0"/>
          <w:kern w:val="0"/>
          <w:sz w:val="21"/>
          <w:szCs w:val="21"/>
          <w:lang w:val="en-US" w:eastAsia="zh-CN"/>
        </w:rPr>
        <w:t>介质损耗角正切试验</w:t>
      </w:r>
    </w:p>
    <w:p w14:paraId="53834F58">
      <w:pPr>
        <w:widowControl w:val="0"/>
        <w:numPr>
          <w:ilvl w:val="0"/>
          <w:numId w:val="0"/>
        </w:numPr>
        <w:tabs>
          <w:tab w:val="left" w:pos="420"/>
        </w:tabs>
        <w:spacing w:line="360" w:lineRule="auto"/>
        <w:ind w:firstLine="420" w:firstLineChars="200"/>
        <w:jc w:val="left"/>
        <w:rPr>
          <w:rFonts w:hint="eastAsia" w:ascii="Times New Roman" w:hAnsi="Times New Roman" w:eastAsia="宋体" w:cs="Times New Roman"/>
          <w:b w:val="0"/>
          <w:bCs w:val="0"/>
          <w:kern w:val="0"/>
          <w:sz w:val="21"/>
          <w:szCs w:val="21"/>
          <w:lang w:val="en-US" w:eastAsia="zh-CN"/>
        </w:rPr>
      </w:pPr>
      <w:r>
        <w:rPr>
          <w:rFonts w:hint="default" w:ascii="Times New Roman" w:hAnsi="Times New Roman" w:eastAsia="宋体" w:cs="Times New Roman"/>
          <w:b w:val="0"/>
          <w:bCs w:val="0"/>
          <w:kern w:val="0"/>
          <w:sz w:val="21"/>
          <w:szCs w:val="21"/>
          <w:lang w:val="en-US" w:eastAsia="zh-CN"/>
        </w:rPr>
        <w:t>GB/T 3048.</w:t>
      </w:r>
      <w:r>
        <w:rPr>
          <w:rFonts w:hint="eastAsia" w:ascii="Times New Roman" w:hAnsi="Times New Roman" w:eastAsia="宋体" w:cs="Times New Roman"/>
          <w:b w:val="0"/>
          <w:bCs w:val="0"/>
          <w:kern w:val="0"/>
          <w:sz w:val="21"/>
          <w:szCs w:val="21"/>
          <w:lang w:val="en-US" w:eastAsia="zh-CN"/>
        </w:rPr>
        <w:t>12</w:t>
      </w:r>
      <w:r>
        <w:rPr>
          <w:rFonts w:hint="default" w:ascii="Times New Roman" w:hAnsi="Times New Roman" w:eastAsia="宋体" w:cs="Times New Roman"/>
          <w:b w:val="0"/>
          <w:bCs w:val="0"/>
          <w:kern w:val="0"/>
          <w:sz w:val="21"/>
          <w:szCs w:val="21"/>
          <w:lang w:val="en-US" w:eastAsia="zh-CN"/>
        </w:rPr>
        <w:t xml:space="preserve">  电线电缆电性能试验方法  第</w:t>
      </w:r>
      <w:r>
        <w:rPr>
          <w:rFonts w:hint="eastAsia" w:ascii="Times New Roman" w:hAnsi="Times New Roman" w:eastAsia="宋体" w:cs="Times New Roman"/>
          <w:b w:val="0"/>
          <w:bCs w:val="0"/>
          <w:kern w:val="0"/>
          <w:sz w:val="21"/>
          <w:szCs w:val="21"/>
          <w:lang w:val="en-US" w:eastAsia="zh-CN"/>
        </w:rPr>
        <w:t>12</w:t>
      </w:r>
      <w:r>
        <w:rPr>
          <w:rFonts w:hint="default" w:ascii="Times New Roman" w:hAnsi="Times New Roman" w:eastAsia="宋体" w:cs="Times New Roman"/>
          <w:b w:val="0"/>
          <w:bCs w:val="0"/>
          <w:kern w:val="0"/>
          <w:sz w:val="21"/>
          <w:szCs w:val="21"/>
          <w:lang w:val="en-US" w:eastAsia="zh-CN"/>
        </w:rPr>
        <w:t>部分：</w:t>
      </w:r>
      <w:r>
        <w:rPr>
          <w:rFonts w:hint="eastAsia" w:ascii="Times New Roman" w:hAnsi="Times New Roman" w:eastAsia="宋体" w:cs="Times New Roman"/>
          <w:b w:val="0"/>
          <w:bCs w:val="0"/>
          <w:kern w:val="0"/>
          <w:sz w:val="21"/>
          <w:szCs w:val="21"/>
          <w:lang w:val="en-US" w:eastAsia="zh-CN"/>
        </w:rPr>
        <w:t>局部放电试验</w:t>
      </w:r>
    </w:p>
    <w:p w14:paraId="7D84615B">
      <w:pPr>
        <w:widowControl w:val="0"/>
        <w:kinsoku/>
        <w:autoSpaceDE/>
        <w:autoSpaceDN/>
        <w:adjustRightInd/>
        <w:snapToGrid/>
        <w:spacing w:line="360" w:lineRule="auto"/>
        <w:ind w:firstLine="412" w:firstLineChars="200"/>
        <w:textAlignment w:val="auto"/>
        <w:rPr>
          <w:rFonts w:hint="eastAsia" w:ascii="Times New Roman Regular" w:hAnsi="Times New Roman Regular" w:eastAsia="宋体" w:cs="Times New Roman Regular"/>
          <w:spacing w:val="-2"/>
          <w:szCs w:val="21"/>
          <w:lang w:val="en-US" w:eastAsia="zh-CN"/>
        </w:rPr>
      </w:pPr>
      <w:r>
        <w:rPr>
          <w:rFonts w:hint="default" w:ascii="Times New Roman Regular" w:hAnsi="Times New Roman Regular" w:eastAsia="宋体" w:cs="Times New Roman Regular"/>
          <w:spacing w:val="-2"/>
          <w:szCs w:val="21"/>
          <w:lang w:val="en-US" w:eastAsia="en-US"/>
        </w:rPr>
        <w:t>GB/T 3048.13</w:t>
      </w:r>
      <w:r>
        <w:rPr>
          <w:rFonts w:hint="eastAsia" w:ascii="Times New Roman Regular" w:hAnsi="Times New Roman Regular" w:eastAsia="宋体" w:cs="Times New Roman Regular"/>
          <w:spacing w:val="-2"/>
          <w:szCs w:val="21"/>
          <w:lang w:val="en-US" w:eastAsia="zh-CN"/>
        </w:rPr>
        <w:t xml:space="preserve">  电线电缆电性能试验方法  第13部分：冲击电压试验</w:t>
      </w:r>
    </w:p>
    <w:p w14:paraId="05B8C70D">
      <w:pPr>
        <w:widowControl w:val="0"/>
        <w:numPr>
          <w:ilvl w:val="0"/>
          <w:numId w:val="0"/>
        </w:numPr>
        <w:tabs>
          <w:tab w:val="left" w:pos="420"/>
        </w:tabs>
        <w:spacing w:line="360" w:lineRule="auto"/>
        <w:ind w:firstLine="420" w:firstLineChars="200"/>
        <w:jc w:val="left"/>
        <w:rPr>
          <w:rFonts w:hint="default" w:ascii="Times New Roman" w:hAnsi="Times New Roman" w:eastAsia="宋体" w:cs="Times New Roman"/>
          <w:b w:val="0"/>
          <w:bCs w:val="0"/>
          <w:kern w:val="0"/>
          <w:sz w:val="21"/>
          <w:szCs w:val="21"/>
          <w:lang w:val="en-US" w:eastAsia="zh-CN"/>
        </w:rPr>
      </w:pPr>
      <w:r>
        <w:rPr>
          <w:rFonts w:hint="default" w:ascii="Times New Roman" w:hAnsi="Times New Roman" w:eastAsia="宋体" w:cs="Times New Roman"/>
          <w:b w:val="0"/>
          <w:bCs w:val="0"/>
          <w:kern w:val="0"/>
          <w:sz w:val="21"/>
          <w:szCs w:val="21"/>
          <w:lang w:val="en-US" w:eastAsia="zh-CN"/>
        </w:rPr>
        <w:t>GB/T 3048.14  电线电缆电性能试验方法  第14部分：直流电压试验</w:t>
      </w:r>
    </w:p>
    <w:p w14:paraId="3F9E75E2">
      <w:pPr>
        <w:widowControl w:val="0"/>
        <w:kinsoku/>
        <w:autoSpaceDE/>
        <w:autoSpaceDN/>
        <w:adjustRightInd/>
        <w:snapToGrid/>
        <w:spacing w:line="360" w:lineRule="auto"/>
        <w:ind w:firstLine="420" w:firstLineChars="200"/>
        <w:textAlignment w:val="auto"/>
        <w:rPr>
          <w:rFonts w:hint="default" w:ascii="Times New Roman Regular" w:hAnsi="Times New Roman Regular" w:eastAsia="宋体" w:cs="Times New Roman Regular"/>
          <w:spacing w:val="-2"/>
          <w:szCs w:val="21"/>
          <w:lang w:val="en-US" w:eastAsia="zh-CN"/>
        </w:rPr>
      </w:pPr>
      <w:r>
        <w:rPr>
          <w:rFonts w:hint="default" w:ascii="Times New Roman" w:hAnsi="Times New Roman" w:cs="Times New Roman"/>
          <w:lang w:eastAsia="zh-CN"/>
        </w:rPr>
        <w:t>GB</w:t>
      </w:r>
      <w:r>
        <w:rPr>
          <w:rFonts w:hint="default" w:ascii="Times New Roman" w:hAnsi="Times New Roman" w:cs="Times New Roman"/>
        </w:rPr>
        <w:t>/</w:t>
      </w:r>
      <w:r>
        <w:rPr>
          <w:rFonts w:hint="default" w:ascii="Times New Roman" w:hAnsi="Times New Roman" w:cs="Times New Roman"/>
          <w:lang w:eastAsia="zh-CN"/>
        </w:rPr>
        <w:t>T</w:t>
      </w:r>
      <w:r>
        <w:rPr>
          <w:rFonts w:hint="default" w:ascii="Times New Roman" w:hAnsi="Times New Roman" w:cs="Times New Roman"/>
          <w:lang w:val="en-US" w:eastAsia="zh-CN"/>
        </w:rPr>
        <w:t xml:space="preserve"> </w:t>
      </w:r>
      <w:r>
        <w:rPr>
          <w:rFonts w:hint="default" w:ascii="Times New Roman" w:hAnsi="Times New Roman" w:cs="Times New Roman"/>
        </w:rPr>
        <w:t>395</w:t>
      </w:r>
      <w:r>
        <w:rPr>
          <w:rFonts w:hint="eastAsia" w:ascii="Times New Roman" w:hAnsi="Times New Roman" w:cs="Times New Roman"/>
          <w:lang w:val="en-US" w:eastAsia="zh-CN"/>
        </w:rPr>
        <w:t>3</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电工圆铜线</w:t>
      </w:r>
    </w:p>
    <w:p w14:paraId="7C3A4E70">
      <w:pPr>
        <w:widowControl w:val="0"/>
        <w:kinsoku/>
        <w:autoSpaceDE/>
        <w:autoSpaceDN/>
        <w:adjustRightInd/>
        <w:snapToGrid/>
        <w:spacing w:line="360" w:lineRule="auto"/>
        <w:ind w:firstLine="420" w:firstLineChars="200"/>
        <w:textAlignment w:val="auto"/>
        <w:rPr>
          <w:rFonts w:hint="default" w:ascii="Times New Roman" w:hAnsi="Times New Roman" w:cs="Times New Roman"/>
        </w:rPr>
      </w:pPr>
      <w:r>
        <w:rPr>
          <w:rFonts w:hint="default" w:ascii="Times New Roman" w:hAnsi="Times New Roman" w:cs="Times New Roman"/>
          <w:lang w:eastAsia="zh-CN"/>
        </w:rPr>
        <w:t>GB</w:t>
      </w:r>
      <w:r>
        <w:rPr>
          <w:rFonts w:hint="default" w:ascii="Times New Roman" w:hAnsi="Times New Roman" w:cs="Times New Roman"/>
        </w:rPr>
        <w:t>/</w:t>
      </w:r>
      <w:r>
        <w:rPr>
          <w:rFonts w:hint="default" w:ascii="Times New Roman" w:hAnsi="Times New Roman" w:cs="Times New Roman"/>
          <w:lang w:eastAsia="zh-CN"/>
        </w:rPr>
        <w:t>T</w:t>
      </w:r>
      <w:r>
        <w:rPr>
          <w:rFonts w:hint="default" w:ascii="Times New Roman" w:hAnsi="Times New Roman" w:cs="Times New Roman"/>
          <w:lang w:val="en-US" w:eastAsia="zh-CN"/>
        </w:rPr>
        <w:t xml:space="preserve"> </w:t>
      </w:r>
      <w:r>
        <w:rPr>
          <w:rFonts w:hint="default" w:ascii="Times New Roman" w:hAnsi="Times New Roman" w:cs="Times New Roman"/>
        </w:rPr>
        <w:t>3956</w:t>
      </w:r>
      <w:r>
        <w:rPr>
          <w:rFonts w:hint="default" w:ascii="Times New Roman" w:hAnsi="Times New Roman" w:cs="Times New Roman"/>
          <w:lang w:val="en-US" w:eastAsia="zh-CN"/>
        </w:rPr>
        <w:t xml:space="preserve">  </w:t>
      </w:r>
      <w:r>
        <w:rPr>
          <w:rFonts w:hint="default" w:ascii="Times New Roman" w:hAnsi="Times New Roman" w:cs="Times New Roman"/>
        </w:rPr>
        <w:t>电缆的导体</w:t>
      </w:r>
    </w:p>
    <w:p w14:paraId="5B7BF8A0">
      <w:pPr>
        <w:widowControl w:val="0"/>
        <w:kinsoku/>
        <w:autoSpaceDE/>
        <w:autoSpaceDN/>
        <w:adjustRightInd/>
        <w:snapToGrid/>
        <w:spacing w:line="360" w:lineRule="auto"/>
        <w:ind w:firstLine="420" w:firstLineChars="200"/>
        <w:textAlignment w:val="auto"/>
        <w:rPr>
          <w:rFonts w:hint="eastAsia" w:ascii="Times New Roman" w:hAnsi="Times New Roman" w:cs="Times New Roman"/>
          <w:highlight w:val="none"/>
          <w:lang w:val="en-US" w:eastAsia="zh-CN"/>
        </w:rPr>
      </w:pPr>
      <w:r>
        <w:rPr>
          <w:rFonts w:hint="default" w:ascii="Times New Roman" w:hAnsi="Times New Roman" w:cs="Times New Roman"/>
          <w:lang w:eastAsia="zh-CN"/>
        </w:rPr>
        <w:t>GB</w:t>
      </w:r>
      <w:r>
        <w:rPr>
          <w:rFonts w:hint="default" w:ascii="Times New Roman" w:hAnsi="Times New Roman" w:cs="Times New Roman"/>
        </w:rPr>
        <w:t>/</w:t>
      </w:r>
      <w:r>
        <w:rPr>
          <w:rFonts w:hint="default" w:ascii="Times New Roman" w:hAnsi="Times New Roman" w:cs="Times New Roman"/>
          <w:lang w:eastAsia="zh-CN"/>
        </w:rPr>
        <w:t>T</w:t>
      </w:r>
      <w:r>
        <w:rPr>
          <w:rFonts w:hint="eastAsia" w:ascii="Times New Roman" w:hAnsi="Times New Roman" w:cs="Times New Roman"/>
          <w:lang w:val="en-US" w:eastAsia="zh-CN"/>
        </w:rPr>
        <w:t xml:space="preserve"> 6995.1</w:t>
      </w:r>
      <w:r>
        <w:rPr>
          <w:rFonts w:hint="default" w:ascii="Times New Roman" w:hAnsi="Times New Roman" w:cs="Times New Roman"/>
          <w:lang w:val="en-US" w:eastAsia="zh-CN"/>
        </w:rPr>
        <w:t xml:space="preserve">  电线电缆识别标志方法</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第</w:t>
      </w:r>
      <w:r>
        <w:rPr>
          <w:rFonts w:hint="eastAsia" w:ascii="Times New Roman" w:hAnsi="Times New Roman" w:cs="Times New Roman"/>
          <w:lang w:val="en-US" w:eastAsia="zh-CN"/>
        </w:rPr>
        <w:t>1</w:t>
      </w:r>
      <w:r>
        <w:rPr>
          <w:rFonts w:hint="default" w:ascii="Times New Roman" w:hAnsi="Times New Roman" w:cs="Times New Roman"/>
          <w:lang w:val="en-US" w:eastAsia="zh-CN"/>
        </w:rPr>
        <w:t>部分</w:t>
      </w:r>
      <w:r>
        <w:rPr>
          <w:rFonts w:hint="default" w:ascii="Times New Roman" w:hAnsi="Times New Roman" w:cs="Times New Roman"/>
          <w:highlight w:val="none"/>
        </w:rPr>
        <w:t>：</w:t>
      </w:r>
      <w:r>
        <w:rPr>
          <w:rFonts w:hint="eastAsia" w:ascii="Times New Roman" w:hAnsi="Times New Roman" w:cs="Times New Roman"/>
          <w:highlight w:val="none"/>
          <w:lang w:val="en-US" w:eastAsia="zh-CN"/>
        </w:rPr>
        <w:t>一般规定</w:t>
      </w:r>
    </w:p>
    <w:p w14:paraId="51B4600C">
      <w:pPr>
        <w:widowControl w:val="0"/>
        <w:kinsoku/>
        <w:autoSpaceDE/>
        <w:autoSpaceDN/>
        <w:adjustRightInd/>
        <w:snapToGrid/>
        <w:spacing w:line="360" w:lineRule="auto"/>
        <w:ind w:firstLine="420" w:firstLineChars="200"/>
        <w:textAlignment w:val="auto"/>
        <w:rPr>
          <w:rFonts w:hint="eastAsia" w:ascii="Times New Roman" w:hAnsi="Times New Roman" w:cs="Times New Roman" w:eastAsiaTheme="minorEastAsia"/>
          <w:highlight w:val="none"/>
          <w:lang w:val="en-US" w:eastAsia="zh-CN"/>
        </w:rPr>
      </w:pPr>
      <w:r>
        <w:rPr>
          <w:rFonts w:hint="default" w:ascii="Times New Roman" w:hAnsi="Times New Roman" w:cs="Times New Roman"/>
          <w:lang w:eastAsia="zh-CN"/>
        </w:rPr>
        <w:t>GB</w:t>
      </w:r>
      <w:r>
        <w:rPr>
          <w:rFonts w:hint="default" w:ascii="Times New Roman" w:hAnsi="Times New Roman" w:cs="Times New Roman"/>
        </w:rPr>
        <w:t>/</w:t>
      </w:r>
      <w:r>
        <w:rPr>
          <w:rFonts w:hint="default" w:ascii="Times New Roman" w:hAnsi="Times New Roman" w:cs="Times New Roman"/>
          <w:lang w:eastAsia="zh-CN"/>
        </w:rPr>
        <w:t>T</w:t>
      </w:r>
      <w:r>
        <w:rPr>
          <w:rFonts w:hint="eastAsia" w:ascii="Times New Roman" w:hAnsi="Times New Roman" w:cs="Times New Roman"/>
          <w:lang w:val="en-US" w:eastAsia="zh-CN"/>
        </w:rPr>
        <w:t xml:space="preserve"> 6995.2</w:t>
      </w:r>
      <w:r>
        <w:rPr>
          <w:rFonts w:hint="default" w:ascii="Times New Roman" w:hAnsi="Times New Roman" w:cs="Times New Roman"/>
          <w:lang w:val="en-US" w:eastAsia="zh-CN"/>
        </w:rPr>
        <w:t xml:space="preserve">  电线电缆识别标志方法</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第</w:t>
      </w:r>
      <w:r>
        <w:rPr>
          <w:rFonts w:hint="eastAsia" w:ascii="Times New Roman" w:hAnsi="Times New Roman" w:cs="Times New Roman"/>
          <w:lang w:val="en-US" w:eastAsia="zh-CN"/>
        </w:rPr>
        <w:t>2</w:t>
      </w:r>
      <w:r>
        <w:rPr>
          <w:rFonts w:hint="default" w:ascii="Times New Roman" w:hAnsi="Times New Roman" w:cs="Times New Roman"/>
          <w:lang w:val="en-US" w:eastAsia="zh-CN"/>
        </w:rPr>
        <w:t>部分</w:t>
      </w:r>
      <w:r>
        <w:rPr>
          <w:rFonts w:hint="default" w:ascii="Times New Roman" w:hAnsi="Times New Roman" w:cs="Times New Roman"/>
          <w:highlight w:val="none"/>
        </w:rPr>
        <w:t>：</w:t>
      </w:r>
      <w:r>
        <w:rPr>
          <w:rFonts w:hint="eastAsia" w:ascii="Times New Roman" w:hAnsi="Times New Roman" w:cs="Times New Roman"/>
          <w:highlight w:val="none"/>
          <w:lang w:val="en-US" w:eastAsia="zh-CN"/>
        </w:rPr>
        <w:t>标准颜色</w:t>
      </w:r>
    </w:p>
    <w:p w14:paraId="00443E84">
      <w:pPr>
        <w:widowControl w:val="0"/>
        <w:kinsoku/>
        <w:autoSpaceDE/>
        <w:autoSpaceDN/>
        <w:adjustRightInd/>
        <w:snapToGrid/>
        <w:spacing w:line="360" w:lineRule="auto"/>
        <w:ind w:firstLine="420" w:firstLineChars="200"/>
        <w:textAlignment w:val="auto"/>
        <w:rPr>
          <w:rFonts w:hint="default" w:ascii="Times New Roman" w:hAnsi="Times New Roman" w:cs="Times New Roman"/>
          <w:lang w:val="en-US" w:eastAsia="zh-CN"/>
        </w:rPr>
      </w:pPr>
      <w:r>
        <w:rPr>
          <w:rFonts w:hint="default" w:ascii="Times New Roman" w:hAnsi="Times New Roman" w:cs="Times New Roman"/>
          <w:lang w:eastAsia="zh-CN"/>
        </w:rPr>
        <w:t>GB</w:t>
      </w:r>
      <w:r>
        <w:rPr>
          <w:rFonts w:hint="default" w:ascii="Times New Roman" w:hAnsi="Times New Roman" w:cs="Times New Roman"/>
        </w:rPr>
        <w:t>/</w:t>
      </w:r>
      <w:r>
        <w:rPr>
          <w:rFonts w:hint="default" w:ascii="Times New Roman" w:hAnsi="Times New Roman" w:cs="Times New Roman"/>
          <w:lang w:eastAsia="zh-CN"/>
        </w:rPr>
        <w:t>T</w:t>
      </w:r>
      <w:r>
        <w:rPr>
          <w:rFonts w:hint="eastAsia" w:ascii="Times New Roman" w:hAnsi="Times New Roman" w:cs="Times New Roman"/>
          <w:lang w:val="en-US" w:eastAsia="zh-CN"/>
        </w:rPr>
        <w:t xml:space="preserve"> 6995.3</w:t>
      </w:r>
      <w:r>
        <w:rPr>
          <w:rFonts w:hint="default" w:ascii="Times New Roman" w:hAnsi="Times New Roman" w:cs="Times New Roman"/>
          <w:lang w:val="en-US" w:eastAsia="zh-CN"/>
        </w:rPr>
        <w:t xml:space="preserve">  电线电缆识别标志方法</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第3部分</w:t>
      </w:r>
      <w:r>
        <w:rPr>
          <w:rFonts w:hint="default" w:ascii="Times New Roman" w:hAnsi="Times New Roman" w:cs="Times New Roman"/>
          <w:highlight w:val="none"/>
        </w:rPr>
        <w:t>：</w:t>
      </w:r>
      <w:r>
        <w:rPr>
          <w:rFonts w:hint="default" w:ascii="Times New Roman" w:hAnsi="Times New Roman" w:cs="Times New Roman"/>
          <w:lang w:val="en-US" w:eastAsia="zh-CN"/>
        </w:rPr>
        <w:t>电线电缆识别标志</w:t>
      </w:r>
    </w:p>
    <w:p w14:paraId="75454585">
      <w:pPr>
        <w:widowControl w:val="0"/>
        <w:kinsoku/>
        <w:autoSpaceDE/>
        <w:autoSpaceDN/>
        <w:adjustRightInd/>
        <w:snapToGrid/>
        <w:spacing w:line="360" w:lineRule="auto"/>
        <w:ind w:firstLine="420" w:firstLineChars="200"/>
        <w:textAlignment w:val="auto"/>
        <w:rPr>
          <w:rFonts w:hint="eastAsia" w:ascii="Times New Roman" w:hAnsi="Times New Roman" w:cs="Times New Roman"/>
          <w:highlight w:val="none"/>
          <w:lang w:val="en-US" w:eastAsia="zh-CN"/>
        </w:rPr>
      </w:pPr>
      <w:r>
        <w:rPr>
          <w:rFonts w:hint="default" w:ascii="Times New Roman" w:hAnsi="Times New Roman" w:cs="Times New Roman"/>
          <w:lang w:eastAsia="zh-CN"/>
        </w:rPr>
        <w:t>GB</w:t>
      </w:r>
      <w:r>
        <w:rPr>
          <w:rFonts w:hint="default" w:ascii="Times New Roman" w:hAnsi="Times New Roman" w:cs="Times New Roman"/>
        </w:rPr>
        <w:t>/</w:t>
      </w:r>
      <w:r>
        <w:rPr>
          <w:rFonts w:hint="default" w:ascii="Times New Roman" w:hAnsi="Times New Roman" w:cs="Times New Roman"/>
          <w:lang w:eastAsia="zh-CN"/>
        </w:rPr>
        <w:t>T</w:t>
      </w:r>
      <w:r>
        <w:rPr>
          <w:rFonts w:hint="eastAsia" w:ascii="Times New Roman" w:hAnsi="Times New Roman" w:cs="Times New Roman"/>
          <w:lang w:val="en-US" w:eastAsia="zh-CN"/>
        </w:rPr>
        <w:t xml:space="preserve"> 6995.4</w:t>
      </w:r>
      <w:r>
        <w:rPr>
          <w:rFonts w:hint="default" w:ascii="Times New Roman" w:hAnsi="Times New Roman" w:cs="Times New Roman"/>
          <w:lang w:val="en-US" w:eastAsia="zh-CN"/>
        </w:rPr>
        <w:t xml:space="preserve">  电线电缆识别标志方法</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第</w:t>
      </w:r>
      <w:r>
        <w:rPr>
          <w:rFonts w:hint="eastAsia" w:ascii="Times New Roman" w:hAnsi="Times New Roman" w:cs="Times New Roman"/>
          <w:lang w:val="en-US" w:eastAsia="zh-CN"/>
        </w:rPr>
        <w:t>4</w:t>
      </w:r>
      <w:r>
        <w:rPr>
          <w:rFonts w:hint="default" w:ascii="Times New Roman" w:hAnsi="Times New Roman" w:cs="Times New Roman"/>
          <w:lang w:val="en-US" w:eastAsia="zh-CN"/>
        </w:rPr>
        <w:t>部分</w:t>
      </w:r>
      <w:r>
        <w:rPr>
          <w:rFonts w:hint="default" w:ascii="Times New Roman" w:hAnsi="Times New Roman" w:cs="Times New Roman"/>
          <w:highlight w:val="none"/>
        </w:rPr>
        <w:t>：</w:t>
      </w:r>
      <w:r>
        <w:rPr>
          <w:rFonts w:hint="eastAsia" w:ascii="Times New Roman" w:hAnsi="Times New Roman" w:cs="Times New Roman"/>
          <w:highlight w:val="none"/>
          <w:lang w:val="en-US" w:eastAsia="zh-CN"/>
        </w:rPr>
        <w:t>电气装备电线电缆绝缘线芯识别标志</w:t>
      </w:r>
    </w:p>
    <w:p w14:paraId="67B92EBB">
      <w:pPr>
        <w:widowControl w:val="0"/>
        <w:kinsoku/>
        <w:autoSpaceDE/>
        <w:autoSpaceDN/>
        <w:adjustRightInd/>
        <w:snapToGrid/>
        <w:spacing w:line="360" w:lineRule="auto"/>
        <w:ind w:firstLine="420" w:firstLineChars="200"/>
        <w:textAlignment w:val="auto"/>
        <w:rPr>
          <w:rFonts w:hint="eastAsia" w:ascii="Times New Roman" w:hAnsi="Times New Roman" w:cs="Times New Roman"/>
          <w:highlight w:val="none"/>
          <w:lang w:val="en-US" w:eastAsia="zh-CN"/>
        </w:rPr>
      </w:pPr>
      <w:r>
        <w:rPr>
          <w:rFonts w:hint="default" w:ascii="Times New Roman" w:hAnsi="Times New Roman" w:cs="Times New Roman"/>
          <w:lang w:eastAsia="zh-CN"/>
        </w:rPr>
        <w:t>GB</w:t>
      </w:r>
      <w:r>
        <w:rPr>
          <w:rFonts w:hint="default" w:ascii="Times New Roman" w:hAnsi="Times New Roman" w:cs="Times New Roman"/>
        </w:rPr>
        <w:t>/</w:t>
      </w:r>
      <w:r>
        <w:rPr>
          <w:rFonts w:hint="default" w:ascii="Times New Roman" w:hAnsi="Times New Roman" w:cs="Times New Roman"/>
          <w:lang w:eastAsia="zh-CN"/>
        </w:rPr>
        <w:t>T</w:t>
      </w:r>
      <w:r>
        <w:rPr>
          <w:rFonts w:hint="eastAsia" w:ascii="Times New Roman" w:hAnsi="Times New Roman" w:cs="Times New Roman"/>
          <w:lang w:val="en-US" w:eastAsia="zh-CN"/>
        </w:rPr>
        <w:t xml:space="preserve"> 6995.5</w:t>
      </w:r>
      <w:r>
        <w:rPr>
          <w:rFonts w:hint="default" w:ascii="Times New Roman" w:hAnsi="Times New Roman" w:cs="Times New Roman"/>
          <w:lang w:val="en-US" w:eastAsia="zh-CN"/>
        </w:rPr>
        <w:t xml:space="preserve">  电线电缆识别标志方法</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第</w:t>
      </w:r>
      <w:r>
        <w:rPr>
          <w:rFonts w:hint="eastAsia" w:ascii="Times New Roman" w:hAnsi="Times New Roman" w:cs="Times New Roman"/>
          <w:lang w:val="en-US" w:eastAsia="zh-CN"/>
        </w:rPr>
        <w:t>5</w:t>
      </w:r>
      <w:r>
        <w:rPr>
          <w:rFonts w:hint="default" w:ascii="Times New Roman" w:hAnsi="Times New Roman" w:cs="Times New Roman"/>
          <w:lang w:val="en-US" w:eastAsia="zh-CN"/>
        </w:rPr>
        <w:t>部分</w:t>
      </w:r>
      <w:r>
        <w:rPr>
          <w:rFonts w:hint="default" w:ascii="Times New Roman" w:hAnsi="Times New Roman" w:cs="Times New Roman"/>
          <w:highlight w:val="none"/>
        </w:rPr>
        <w:t>：</w:t>
      </w:r>
      <w:r>
        <w:rPr>
          <w:rFonts w:hint="eastAsia" w:ascii="Times New Roman" w:hAnsi="Times New Roman" w:cs="Times New Roman"/>
          <w:highlight w:val="none"/>
          <w:lang w:val="en-US" w:eastAsia="zh-CN"/>
        </w:rPr>
        <w:t>电力电缆绝缘线芯识别标志</w:t>
      </w:r>
    </w:p>
    <w:p w14:paraId="4ADED015">
      <w:pPr>
        <w:widowControl w:val="0"/>
        <w:kinsoku/>
        <w:autoSpaceDE/>
        <w:autoSpaceDN/>
        <w:adjustRightInd/>
        <w:snapToGrid/>
        <w:spacing w:line="360" w:lineRule="auto"/>
        <w:ind w:firstLine="420"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GB/T 9771  通信用单模光纤</w:t>
      </w:r>
    </w:p>
    <w:p w14:paraId="4F90F5AC">
      <w:pPr>
        <w:widowControl w:val="0"/>
        <w:kinsoku/>
        <w:autoSpaceDE/>
        <w:autoSpaceDN/>
        <w:adjustRightInd/>
        <w:snapToGrid/>
        <w:spacing w:line="360" w:lineRule="auto"/>
        <w:ind w:firstLine="42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GB/T 12357.1</w:t>
      </w:r>
      <w:r>
        <w:rPr>
          <w:rFonts w:hint="eastAsia" w:ascii="Times New Roman" w:hAnsi="Times New Roman" w:cs="Times New Roman"/>
          <w:highlight w:val="none"/>
          <w:lang w:val="en-US" w:eastAsia="zh-CN"/>
        </w:rPr>
        <w:t xml:space="preserve">  通信用多模光纤  第1部分：A1类多模光纤特性</w:t>
      </w:r>
    </w:p>
    <w:p w14:paraId="7AB0B4D0">
      <w:pPr>
        <w:widowControl w:val="0"/>
        <w:kinsoku/>
        <w:autoSpaceDE/>
        <w:autoSpaceDN/>
        <w:adjustRightInd/>
        <w:snapToGrid/>
        <w:spacing w:line="360" w:lineRule="auto"/>
        <w:ind w:firstLine="420"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GB/T 16927.1  高电压试验技术  第1部分：一般定义及试验要求</w:t>
      </w:r>
    </w:p>
    <w:p w14:paraId="6A8EED43">
      <w:pPr>
        <w:widowControl w:val="0"/>
        <w:kinsoku/>
        <w:autoSpaceDE/>
        <w:autoSpaceDN/>
        <w:adjustRightInd/>
        <w:snapToGrid/>
        <w:spacing w:line="360" w:lineRule="auto"/>
        <w:ind w:firstLine="420" w:firstLineChars="200"/>
        <w:textAlignment w:val="auto"/>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GB/T 18480  海底光缆总规范</w:t>
      </w:r>
    </w:p>
    <w:p w14:paraId="23667D8E">
      <w:pPr>
        <w:widowControl w:val="0"/>
        <w:kinsoku/>
        <w:autoSpaceDE/>
        <w:autoSpaceDN/>
        <w:adjustRightInd/>
        <w:snapToGrid/>
        <w:spacing w:line="360" w:lineRule="auto"/>
        <w:ind w:firstLine="420" w:firstLineChars="200"/>
        <w:textAlignment w:val="auto"/>
        <w:rPr>
          <w:rFonts w:hint="default" w:ascii="Times New Roman" w:hAnsi="Times New Roman" w:cs="Times New Roman"/>
          <w:lang w:val="en-US"/>
        </w:rPr>
      </w:pPr>
      <w:r>
        <w:rPr>
          <w:rFonts w:hint="default" w:ascii="Times New Roman" w:hAnsi="Times New Roman" w:cs="Times New Roman"/>
        </w:rPr>
        <w:t>JB/</w:t>
      </w:r>
      <w:r>
        <w:rPr>
          <w:rFonts w:hint="default" w:ascii="Times New Roman" w:hAnsi="Times New Roman" w:cs="Times New Roman"/>
          <w:lang w:eastAsia="zh-CN"/>
        </w:rPr>
        <w:t>T</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5268.2  电缆金属套  第2部分：铅套</w:t>
      </w:r>
    </w:p>
    <w:p w14:paraId="06D91A68">
      <w:pPr>
        <w:widowControl w:val="0"/>
        <w:kinsoku/>
        <w:autoSpaceDE/>
        <w:autoSpaceDN/>
        <w:adjustRightInd/>
        <w:snapToGrid/>
        <w:spacing w:line="360" w:lineRule="auto"/>
        <w:ind w:firstLine="420" w:firstLineChars="200"/>
        <w:textAlignment w:val="auto"/>
        <w:rPr>
          <w:rFonts w:hint="default" w:ascii="Times New Roman" w:hAnsi="Times New Roman" w:cs="Times New Roman"/>
          <w:lang w:val="en-US" w:eastAsia="zh-CN"/>
        </w:rPr>
      </w:pPr>
      <w:r>
        <w:rPr>
          <w:rFonts w:hint="default" w:ascii="Times New Roman" w:hAnsi="Times New Roman" w:cs="Times New Roman"/>
        </w:rPr>
        <w:t>JB/</w:t>
      </w:r>
      <w:r>
        <w:rPr>
          <w:rFonts w:hint="default" w:ascii="Times New Roman" w:hAnsi="Times New Roman" w:cs="Times New Roman"/>
          <w:lang w:eastAsia="zh-CN"/>
        </w:rPr>
        <w:t>T</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11167.1</w:t>
      </w:r>
      <w:r>
        <w:rPr>
          <w:rFonts w:hint="default" w:ascii="Times New Roman" w:hAnsi="Times New Roman" w:cs="Times New Roman"/>
          <w:lang w:val="en-US" w:eastAsia="zh-CN"/>
        </w:rPr>
        <w:t xml:space="preserve">  额定电压10</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val="en-US" w:eastAsia="zh-CN"/>
        </w:rPr>
        <w:t>kV（</w:t>
      </w:r>
      <w:r>
        <w:rPr>
          <w:rFonts w:hint="default" w:ascii="Times New Roman" w:hAnsi="Times New Roman" w:cs="Times New Roman"/>
          <w:i/>
          <w:iCs/>
          <w:lang w:val="en-US" w:eastAsia="zh-CN"/>
        </w:rPr>
        <w:t>U</w:t>
      </w:r>
      <w:r>
        <w:rPr>
          <w:rFonts w:hint="default" w:ascii="Times New Roman" w:hAnsi="Times New Roman" w:cs="Times New Roman"/>
          <w:vertAlign w:val="subscript"/>
          <w:lang w:val="en-US" w:eastAsia="zh-CN"/>
        </w:rPr>
        <w:t>m</w:t>
      </w:r>
      <w:r>
        <w:rPr>
          <w:rFonts w:hint="default" w:ascii="Times New Roman" w:hAnsi="Times New Roman" w:cs="Times New Roman"/>
          <w:lang w:val="en-US" w:eastAsia="zh-CN"/>
        </w:rPr>
        <w:t>=12</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val="en-US" w:eastAsia="zh-CN"/>
        </w:rPr>
        <w:t>kV）至110</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val="en-US" w:eastAsia="zh-CN"/>
        </w:rPr>
        <w:t>kV（</w:t>
      </w:r>
      <w:r>
        <w:rPr>
          <w:rFonts w:hint="default" w:ascii="Times New Roman" w:hAnsi="Times New Roman" w:cs="Times New Roman"/>
          <w:i/>
          <w:iCs/>
          <w:lang w:val="en-US" w:eastAsia="zh-CN"/>
        </w:rPr>
        <w:t>U</w:t>
      </w:r>
      <w:r>
        <w:rPr>
          <w:rFonts w:hint="default" w:ascii="Times New Roman" w:hAnsi="Times New Roman" w:cs="Times New Roman"/>
          <w:vertAlign w:val="subscript"/>
          <w:lang w:val="en-US" w:eastAsia="zh-CN"/>
        </w:rPr>
        <w:t>m</w:t>
      </w:r>
      <w:r>
        <w:rPr>
          <w:rFonts w:hint="default" w:ascii="Times New Roman" w:hAnsi="Times New Roman" w:cs="Times New Roman"/>
          <w:lang w:val="en-US" w:eastAsia="zh-CN"/>
        </w:rPr>
        <w:t>=126</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val="en-US" w:eastAsia="zh-CN"/>
        </w:rPr>
        <w:t xml:space="preserve">kV）交联聚乙烯绝缘大长度交流海底电缆及附件 </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第1部分：试验方法和要求</w:t>
      </w:r>
    </w:p>
    <w:p w14:paraId="0A44DAE0">
      <w:pPr>
        <w:widowControl w:val="0"/>
        <w:kinsoku/>
        <w:autoSpaceDE/>
        <w:autoSpaceDN/>
        <w:adjustRightInd/>
        <w:snapToGrid/>
        <w:spacing w:line="360" w:lineRule="auto"/>
        <w:ind w:firstLine="420" w:firstLineChars="200"/>
        <w:textAlignment w:val="auto"/>
        <w:rPr>
          <w:rFonts w:hint="default" w:ascii="Times New Roman" w:hAnsi="Times New Roman" w:cs="Times New Roman"/>
          <w:lang w:val="en-US" w:eastAsia="zh-CN"/>
        </w:rPr>
      </w:pPr>
      <w:r>
        <w:rPr>
          <w:rFonts w:hint="default" w:ascii="Times New Roman" w:hAnsi="Times New Roman" w:cs="Times New Roman"/>
        </w:rPr>
        <w:t>JB/</w:t>
      </w:r>
      <w:r>
        <w:rPr>
          <w:rFonts w:hint="default" w:ascii="Times New Roman" w:hAnsi="Times New Roman" w:cs="Times New Roman"/>
          <w:lang w:eastAsia="zh-CN"/>
        </w:rPr>
        <w:t>T</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11167.2</w:t>
      </w:r>
      <w:r>
        <w:rPr>
          <w:rFonts w:hint="default" w:ascii="Times New Roman" w:hAnsi="Times New Roman" w:cs="Times New Roman"/>
          <w:lang w:val="en-US" w:eastAsia="zh-CN"/>
        </w:rPr>
        <w:t xml:space="preserve">  额定电压10</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val="en-US" w:eastAsia="zh-CN"/>
        </w:rPr>
        <w:t>kV（</w:t>
      </w:r>
      <w:r>
        <w:rPr>
          <w:rFonts w:hint="default" w:ascii="Times New Roman" w:hAnsi="Times New Roman" w:cs="Times New Roman"/>
          <w:i/>
          <w:iCs/>
          <w:lang w:val="en-US" w:eastAsia="zh-CN"/>
        </w:rPr>
        <w:t>U</w:t>
      </w:r>
      <w:r>
        <w:rPr>
          <w:rFonts w:hint="default" w:ascii="Times New Roman" w:hAnsi="Times New Roman" w:cs="Times New Roman"/>
          <w:vertAlign w:val="subscript"/>
          <w:lang w:val="en-US" w:eastAsia="zh-CN"/>
        </w:rPr>
        <w:t>m</w:t>
      </w:r>
      <w:r>
        <w:rPr>
          <w:rFonts w:hint="default" w:ascii="Times New Roman" w:hAnsi="Times New Roman" w:cs="Times New Roman"/>
          <w:lang w:val="en-US" w:eastAsia="zh-CN"/>
        </w:rPr>
        <w:t>=12</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val="en-US" w:eastAsia="zh-CN"/>
        </w:rPr>
        <w:t>kV）至110</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val="en-US" w:eastAsia="zh-CN"/>
        </w:rPr>
        <w:t>kV（</w:t>
      </w:r>
      <w:r>
        <w:rPr>
          <w:rFonts w:hint="default" w:ascii="Times New Roman" w:hAnsi="Times New Roman" w:cs="Times New Roman"/>
          <w:i/>
          <w:iCs/>
          <w:lang w:val="en-US" w:eastAsia="zh-CN"/>
        </w:rPr>
        <w:t>U</w:t>
      </w:r>
      <w:r>
        <w:rPr>
          <w:rFonts w:hint="default" w:ascii="Times New Roman" w:hAnsi="Times New Roman" w:cs="Times New Roman"/>
          <w:vertAlign w:val="subscript"/>
          <w:lang w:val="en-US" w:eastAsia="zh-CN"/>
        </w:rPr>
        <w:t>m</w:t>
      </w:r>
      <w:r>
        <w:rPr>
          <w:rFonts w:hint="default" w:ascii="Times New Roman" w:hAnsi="Times New Roman" w:cs="Times New Roman"/>
          <w:lang w:val="en-US" w:eastAsia="zh-CN"/>
        </w:rPr>
        <w:t>=126</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val="en-US" w:eastAsia="zh-CN"/>
        </w:rPr>
        <w:t xml:space="preserve">kV）交联聚乙烯绝缘大长度交流海底电缆及附件 </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第2部分：额定电压10</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val="en-US" w:eastAsia="zh-CN"/>
        </w:rPr>
        <w:t>kV（</w:t>
      </w:r>
      <w:r>
        <w:rPr>
          <w:rFonts w:hint="default" w:ascii="Times New Roman" w:hAnsi="Times New Roman" w:cs="Times New Roman"/>
          <w:i/>
          <w:iCs/>
          <w:lang w:val="en-US" w:eastAsia="zh-CN"/>
        </w:rPr>
        <w:t>U</w:t>
      </w:r>
      <w:r>
        <w:rPr>
          <w:rFonts w:hint="default" w:ascii="Times New Roman" w:hAnsi="Times New Roman" w:cs="Times New Roman"/>
          <w:vertAlign w:val="subscript"/>
          <w:lang w:val="en-US" w:eastAsia="zh-CN"/>
        </w:rPr>
        <w:t>m</w:t>
      </w:r>
      <w:r>
        <w:rPr>
          <w:rFonts w:hint="default" w:ascii="Times New Roman" w:hAnsi="Times New Roman" w:cs="Times New Roman"/>
          <w:lang w:val="en-US" w:eastAsia="zh-CN"/>
        </w:rPr>
        <w:t>=12</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val="en-US" w:eastAsia="zh-CN"/>
        </w:rPr>
        <w:t>kV）至110</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val="en-US" w:eastAsia="zh-CN"/>
        </w:rPr>
        <w:t>kV（</w:t>
      </w:r>
      <w:r>
        <w:rPr>
          <w:rFonts w:hint="default" w:ascii="Times New Roman" w:hAnsi="Times New Roman" w:cs="Times New Roman"/>
          <w:i/>
          <w:iCs/>
          <w:lang w:val="en-US" w:eastAsia="zh-CN"/>
        </w:rPr>
        <w:t>U</w:t>
      </w:r>
      <w:r>
        <w:rPr>
          <w:rFonts w:hint="default" w:ascii="Times New Roman" w:hAnsi="Times New Roman" w:cs="Times New Roman"/>
          <w:vertAlign w:val="subscript"/>
          <w:lang w:val="en-US" w:eastAsia="zh-CN"/>
        </w:rPr>
        <w:t>m</w:t>
      </w:r>
      <w:r>
        <w:rPr>
          <w:rFonts w:hint="default" w:ascii="Times New Roman" w:hAnsi="Times New Roman" w:cs="Times New Roman"/>
          <w:lang w:val="en-US" w:eastAsia="zh-CN"/>
        </w:rPr>
        <w:t>=126</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val="en-US" w:eastAsia="zh-CN"/>
        </w:rPr>
        <w:t>kV）交联聚乙烯绝缘大长度交流海底电缆</w:t>
      </w:r>
    </w:p>
    <w:p w14:paraId="0ED1AC2C">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62" w:name="_Toc19178"/>
      <w:bookmarkStart w:id="163" w:name="_Toc19273"/>
      <w:bookmarkStart w:id="164" w:name="_Toc4210"/>
      <w:bookmarkStart w:id="165" w:name="_Toc21510"/>
      <w:bookmarkStart w:id="166" w:name="_Toc11509"/>
      <w:bookmarkStart w:id="167" w:name="_Toc490469307"/>
      <w:bookmarkStart w:id="168" w:name="_Toc133117643"/>
      <w:bookmarkStart w:id="169" w:name="_Toc404"/>
      <w:r>
        <w:rPr>
          <w:rFonts w:hint="default" w:ascii="Times New Roman Regular" w:hAnsi="Times New Roman Regular" w:eastAsia="宋体" w:cs="Times New Roman Regular"/>
          <w:b/>
          <w:bCs/>
          <w:kern w:val="2"/>
          <w:sz w:val="21"/>
          <w:szCs w:val="21"/>
          <w:lang w:val="en-US" w:eastAsia="zh-CN"/>
        </w:rPr>
        <w:t>术语和定义</w:t>
      </w:r>
      <w:bookmarkEnd w:id="162"/>
      <w:bookmarkEnd w:id="163"/>
      <w:bookmarkEnd w:id="164"/>
      <w:bookmarkEnd w:id="165"/>
      <w:bookmarkEnd w:id="166"/>
      <w:bookmarkEnd w:id="167"/>
      <w:bookmarkEnd w:id="168"/>
      <w:bookmarkEnd w:id="169"/>
    </w:p>
    <w:p w14:paraId="12D5C964">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本部分列明了文件中特定的</w:t>
      </w:r>
      <w:r>
        <w:rPr>
          <w:rFonts w:hint="default" w:ascii="Times New Roman Regular" w:hAnsi="Times New Roman Regular" w:eastAsia="宋体" w:cs="Times New Roman Regular"/>
          <w:sz w:val="21"/>
          <w:szCs w:val="21"/>
        </w:rPr>
        <w:t>术语</w:t>
      </w:r>
      <w:r>
        <w:rPr>
          <w:rFonts w:hint="default" w:ascii="Times New Roman Regular" w:hAnsi="Times New Roman Regular" w:eastAsia="宋体" w:cs="Times New Roman Regular"/>
          <w:sz w:val="21"/>
          <w:szCs w:val="21"/>
          <w:lang w:val="en-US" w:eastAsia="zh-CN"/>
        </w:rPr>
        <w:t>及其</w:t>
      </w:r>
      <w:r>
        <w:rPr>
          <w:rFonts w:hint="default" w:ascii="Times New Roman Regular" w:hAnsi="Times New Roman Regular" w:eastAsia="宋体" w:cs="Times New Roman Regular"/>
          <w:sz w:val="21"/>
          <w:szCs w:val="21"/>
        </w:rPr>
        <w:t>定义。</w:t>
      </w:r>
    </w:p>
    <w:p w14:paraId="5ADE278F">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70" w:name="_Toc1275405563"/>
      <w:bookmarkStart w:id="171" w:name="_Toc1777749374"/>
      <w:r>
        <w:rPr>
          <w:rFonts w:hint="eastAsia" w:ascii="Times New Roman Regular" w:hAnsi="Times New Roman Regular" w:eastAsia="宋体" w:cs="Times New Roman Regular"/>
          <w:b/>
          <w:bCs/>
          <w:kern w:val="2"/>
          <w:sz w:val="21"/>
          <w:szCs w:val="21"/>
          <w:lang w:val="en-US" w:eastAsia="zh-CN"/>
        </w:rPr>
        <w:t>总体要求</w:t>
      </w:r>
      <w:bookmarkEnd w:id="170"/>
      <w:bookmarkEnd w:id="171"/>
    </w:p>
    <w:p w14:paraId="4C89320A">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本部分</w:t>
      </w:r>
      <w:r>
        <w:rPr>
          <w:rFonts w:hint="eastAsia" w:ascii="Times New Roman Regular" w:hAnsi="Times New Roman Regular" w:eastAsia="宋体" w:cs="Times New Roman Regular"/>
          <w:sz w:val="21"/>
          <w:szCs w:val="21"/>
          <w:lang w:val="en-US" w:eastAsia="zh-CN"/>
        </w:rPr>
        <w:t>提出了海底电力电缆采购需求制定的一般规定</w:t>
      </w:r>
      <w:r>
        <w:rPr>
          <w:rFonts w:hint="default" w:ascii="Times New Roman Regular" w:hAnsi="Times New Roman Regular" w:eastAsia="宋体" w:cs="Times New Roman Regular"/>
          <w:sz w:val="21"/>
          <w:szCs w:val="21"/>
          <w:lang w:val="en-US" w:eastAsia="zh-CN"/>
        </w:rPr>
        <w:t>。</w:t>
      </w:r>
    </w:p>
    <w:p w14:paraId="51C33652">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72" w:name="_Toc22338"/>
      <w:bookmarkStart w:id="173" w:name="_Toc693748107"/>
      <w:bookmarkStart w:id="174" w:name="_Toc3275"/>
      <w:bookmarkStart w:id="175" w:name="_Toc22597"/>
      <w:bookmarkStart w:id="176" w:name="_Toc10399"/>
      <w:bookmarkStart w:id="177" w:name="_Toc15238"/>
      <w:bookmarkStart w:id="178" w:name="_Toc1707016634"/>
      <w:bookmarkStart w:id="179" w:name="_Toc20142"/>
      <w:r>
        <w:rPr>
          <w:rFonts w:hint="default" w:ascii="Times New Roman Regular" w:hAnsi="Times New Roman Regular" w:eastAsia="宋体" w:cs="Times New Roman Regular"/>
          <w:b/>
          <w:bCs/>
          <w:kern w:val="2"/>
          <w:sz w:val="21"/>
          <w:szCs w:val="21"/>
          <w:lang w:val="en-US" w:eastAsia="zh-CN"/>
        </w:rPr>
        <w:t>通用技术规范</w:t>
      </w:r>
      <w:bookmarkEnd w:id="172"/>
      <w:bookmarkEnd w:id="173"/>
      <w:bookmarkEnd w:id="174"/>
      <w:bookmarkEnd w:id="175"/>
      <w:bookmarkEnd w:id="176"/>
      <w:bookmarkEnd w:id="177"/>
      <w:bookmarkEnd w:id="178"/>
      <w:bookmarkEnd w:id="179"/>
    </w:p>
    <w:p w14:paraId="0F967C8F">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本部分由</w:t>
      </w:r>
      <w:r>
        <w:rPr>
          <w:rFonts w:hint="eastAsia" w:ascii="宋体" w:hAnsi="宋体" w:eastAsia="宋体" w:cs="宋体"/>
          <w:sz w:val="21"/>
          <w:szCs w:val="21"/>
          <w:lang w:val="en-US" w:eastAsia="zh-CN"/>
        </w:rPr>
        <w:t>“</w:t>
      </w:r>
      <w:r>
        <w:rPr>
          <w:rFonts w:hint="eastAsia" w:ascii="Times New Roman Regular" w:hAnsi="Times New Roman Regular" w:eastAsia="宋体" w:cs="Times New Roman Regular"/>
          <w:b w:val="0"/>
          <w:bCs w:val="0"/>
          <w:sz w:val="21"/>
          <w:szCs w:val="21"/>
          <w:lang w:val="en-US" w:eastAsia="zh-CN"/>
        </w:rPr>
        <w:t>通用要求”“产品型号</w:t>
      </w:r>
      <w:r>
        <w:rPr>
          <w:rFonts w:hint="default" w:ascii="Times New Roman Regular" w:hAnsi="Times New Roman Regular" w:eastAsia="宋体" w:cs="Times New Roman Regular"/>
          <w:sz w:val="21"/>
          <w:szCs w:val="21"/>
          <w:lang w:val="en-US" w:eastAsia="zh-CN"/>
        </w:rPr>
        <w:t>和</w:t>
      </w:r>
      <w:r>
        <w:rPr>
          <w:rFonts w:hint="eastAsia" w:ascii="Times New Roman Regular" w:hAnsi="Times New Roman Regular" w:eastAsia="宋体" w:cs="Times New Roman Regular"/>
          <w:sz w:val="21"/>
          <w:szCs w:val="21"/>
          <w:lang w:val="en-US" w:eastAsia="zh-CN"/>
        </w:rPr>
        <w:t>相关</w:t>
      </w:r>
      <w:r>
        <w:rPr>
          <w:rFonts w:hint="default" w:ascii="Times New Roman Regular" w:hAnsi="Times New Roman Regular" w:eastAsia="宋体" w:cs="Times New Roman Regular"/>
          <w:sz w:val="21"/>
          <w:szCs w:val="21"/>
          <w:lang w:val="en-US" w:eastAsia="zh-CN"/>
        </w:rPr>
        <w:t>要求</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检验和试验</w:t>
      </w:r>
      <w:r>
        <w:rPr>
          <w:rFonts w:hint="eastAsia" w:ascii="Times New Roman Regular" w:hAnsi="Times New Roman Regular" w:eastAsia="宋体" w:cs="Times New Roman Regular"/>
          <w:sz w:val="21"/>
          <w:szCs w:val="21"/>
          <w:lang w:val="en-US" w:eastAsia="zh-CN"/>
        </w:rPr>
        <w:t>”“现场</w:t>
      </w:r>
      <w:r>
        <w:rPr>
          <w:rFonts w:hint="default" w:ascii="Times New Roman Regular" w:hAnsi="Times New Roman Regular" w:eastAsia="宋体" w:cs="Times New Roman Regular"/>
          <w:sz w:val="21"/>
          <w:szCs w:val="21"/>
          <w:lang w:val="en-US" w:eastAsia="zh-CN"/>
        </w:rPr>
        <w:t>服务、工厂检验、监造及验收</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产品标志、包装、运输和保管</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投标时应提供的其他资料</w:t>
      </w:r>
      <w:r>
        <w:rPr>
          <w:rFonts w:hint="eastAsia" w:ascii="宋体" w:hAnsi="宋体" w:eastAsia="宋体" w:cs="宋体"/>
          <w:sz w:val="21"/>
          <w:szCs w:val="21"/>
          <w:lang w:val="en-US" w:eastAsia="zh-CN"/>
        </w:rPr>
        <w:t>”等</w:t>
      </w:r>
      <w:r>
        <w:rPr>
          <w:rFonts w:hint="default" w:ascii="Times New Roman Regular" w:hAnsi="Times New Roman Regular" w:eastAsia="宋体" w:cs="Times New Roman Regular"/>
          <w:sz w:val="21"/>
          <w:szCs w:val="21"/>
          <w:lang w:val="en-US" w:eastAsia="zh-CN"/>
        </w:rPr>
        <w:t>组成。</w:t>
      </w:r>
    </w:p>
    <w:p w14:paraId="28E18659">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通用技术规范部分主要介绍</w:t>
      </w:r>
      <w:r>
        <w:rPr>
          <w:rFonts w:hint="eastAsia" w:ascii="Times New Roman Regular" w:hAnsi="Times New Roman Regular" w:eastAsia="宋体" w:cs="Times New Roman Regular"/>
          <w:sz w:val="21"/>
          <w:szCs w:val="21"/>
          <w:lang w:val="en-US" w:eastAsia="zh-CN"/>
        </w:rPr>
        <w:t>海底电力电缆</w:t>
      </w:r>
      <w:r>
        <w:rPr>
          <w:rFonts w:hint="default" w:ascii="Times New Roman Regular" w:hAnsi="Times New Roman Regular" w:eastAsia="宋体" w:cs="Times New Roman Regular"/>
          <w:sz w:val="21"/>
          <w:szCs w:val="21"/>
          <w:lang w:val="en-US" w:eastAsia="zh-CN"/>
        </w:rPr>
        <w:t>招投标的一般要求</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工艺结构、性能要求及检验验收。</w:t>
      </w:r>
    </w:p>
    <w:p w14:paraId="44AC21A9">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80" w:name="_Toc15538"/>
      <w:bookmarkStart w:id="181" w:name="_Toc1135714786"/>
      <w:bookmarkStart w:id="182" w:name="_Toc32224"/>
      <w:bookmarkStart w:id="183" w:name="_Toc1594527365"/>
      <w:bookmarkStart w:id="184" w:name="_Toc12972"/>
      <w:bookmarkStart w:id="185" w:name="_Toc14889"/>
      <w:bookmarkStart w:id="186" w:name="_Toc17576"/>
      <w:bookmarkStart w:id="187" w:name="_Toc23278"/>
      <w:r>
        <w:rPr>
          <w:rFonts w:hint="default" w:ascii="Times New Roman Regular" w:hAnsi="Times New Roman Regular" w:eastAsia="宋体" w:cs="Times New Roman Regular"/>
          <w:b/>
          <w:bCs/>
          <w:kern w:val="2"/>
          <w:sz w:val="21"/>
          <w:szCs w:val="21"/>
          <w:lang w:val="en-US" w:eastAsia="zh-CN"/>
        </w:rPr>
        <w:t>专用技术规范</w:t>
      </w:r>
      <w:bookmarkEnd w:id="180"/>
      <w:bookmarkEnd w:id="181"/>
      <w:bookmarkEnd w:id="182"/>
      <w:bookmarkEnd w:id="183"/>
      <w:bookmarkEnd w:id="184"/>
      <w:bookmarkEnd w:id="185"/>
      <w:bookmarkEnd w:id="186"/>
      <w:bookmarkEnd w:id="187"/>
    </w:p>
    <w:p w14:paraId="6EB8F656">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本部分由</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b w:val="0"/>
          <w:bCs w:val="0"/>
          <w:sz w:val="21"/>
          <w:szCs w:val="21"/>
          <w:lang w:val="en-US" w:eastAsia="zh-CN"/>
        </w:rPr>
        <w:t>工程概况及使用条件</w:t>
      </w:r>
      <w:r>
        <w:rPr>
          <w:rFonts w:hint="eastAsia" w:ascii="Times New Roman Regular" w:hAnsi="Times New Roman Regular" w:eastAsia="宋体" w:cs="Times New Roman Regular"/>
          <w:b w:val="0"/>
          <w:bCs w:val="0"/>
          <w:sz w:val="21"/>
          <w:szCs w:val="21"/>
          <w:lang w:val="en-US" w:eastAsia="zh-CN"/>
        </w:rPr>
        <w:t>”“</w:t>
      </w:r>
      <w:r>
        <w:rPr>
          <w:rFonts w:hint="default" w:ascii="Times New Roman Regular" w:hAnsi="Times New Roman Regular" w:eastAsia="宋体" w:cs="Times New Roman Regular"/>
          <w:sz w:val="21"/>
          <w:szCs w:val="21"/>
          <w:lang w:val="en-US" w:eastAsia="zh-CN"/>
        </w:rPr>
        <w:t>项目需求部分</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技术参数和性能要求</w:t>
      </w:r>
      <w:r>
        <w:rPr>
          <w:rFonts w:hint="eastAsia" w:ascii="Times New Roman Regular" w:hAnsi="Times New Roman Regular" w:eastAsia="宋体" w:cs="Times New Roman Regular"/>
          <w:sz w:val="21"/>
          <w:szCs w:val="21"/>
          <w:lang w:val="en-US" w:eastAsia="zh-CN"/>
        </w:rPr>
        <w:t>”“供应商</w:t>
      </w:r>
      <w:r>
        <w:rPr>
          <w:rFonts w:hint="default" w:ascii="Times New Roman Regular" w:hAnsi="Times New Roman Regular" w:eastAsia="宋体" w:cs="Times New Roman Regular"/>
          <w:sz w:val="21"/>
          <w:szCs w:val="21"/>
          <w:lang w:val="en-US" w:eastAsia="zh-CN"/>
        </w:rPr>
        <w:t>响应部分</w:t>
      </w:r>
      <w:r>
        <w:rPr>
          <w:rFonts w:hint="eastAsia" w:ascii="Times New Roman Regular" w:hAnsi="Times New Roman Regular" w:eastAsia="宋体" w:cs="Times New Roman Regular"/>
          <w:sz w:val="21"/>
          <w:szCs w:val="21"/>
          <w:lang w:val="en-US" w:eastAsia="zh-CN"/>
        </w:rPr>
        <w:t>”等</w:t>
      </w:r>
      <w:r>
        <w:rPr>
          <w:rFonts w:hint="default" w:ascii="Times New Roman Regular" w:hAnsi="Times New Roman Regular" w:eastAsia="宋体" w:cs="Times New Roman Regular"/>
          <w:sz w:val="21"/>
          <w:szCs w:val="21"/>
          <w:lang w:val="en-US" w:eastAsia="zh-CN"/>
        </w:rPr>
        <w:t>组成。</w:t>
      </w:r>
    </w:p>
    <w:p w14:paraId="3BE3EE9B">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b/>
          <w:bCs/>
          <w:sz w:val="21"/>
          <w:szCs w:val="21"/>
          <w:lang w:val="en-US" w:eastAsia="zh-CN"/>
        </w:rPr>
      </w:pPr>
      <w:r>
        <w:rPr>
          <w:rFonts w:hint="default" w:ascii="Times New Roman Regular" w:hAnsi="Times New Roman Regular" w:eastAsia="宋体" w:cs="Times New Roman Regular"/>
          <w:sz w:val="21"/>
          <w:szCs w:val="21"/>
          <w:lang w:val="en-US" w:eastAsia="zh-CN"/>
        </w:rPr>
        <w:t>专用技术规范部分主要介绍项目的工程概况和具体要求，以及投标的具体要求。</w:t>
      </w:r>
    </w:p>
    <w:p w14:paraId="1B98A276">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88" w:name="_Toc6175"/>
      <w:bookmarkStart w:id="189" w:name="_Toc772992642"/>
      <w:bookmarkStart w:id="190" w:name="_Toc159"/>
      <w:bookmarkStart w:id="191" w:name="_Toc21998"/>
      <w:bookmarkStart w:id="192" w:name="_Toc28244"/>
      <w:bookmarkStart w:id="193" w:name="_Toc28483"/>
      <w:bookmarkStart w:id="194" w:name="_Toc2387"/>
      <w:bookmarkStart w:id="195" w:name="_Toc1123753766"/>
      <w:r>
        <w:rPr>
          <w:rFonts w:hint="default" w:ascii="Times New Roman Regular" w:hAnsi="Times New Roman Regular" w:eastAsia="宋体" w:cs="Times New Roman Regular"/>
          <w:b/>
          <w:bCs/>
          <w:kern w:val="2"/>
          <w:sz w:val="21"/>
          <w:szCs w:val="21"/>
          <w:lang w:val="en-US" w:eastAsia="zh-CN"/>
        </w:rPr>
        <w:t>附录</w:t>
      </w:r>
      <w:bookmarkEnd w:id="188"/>
      <w:bookmarkEnd w:id="189"/>
      <w:bookmarkEnd w:id="190"/>
      <w:bookmarkEnd w:id="191"/>
      <w:bookmarkEnd w:id="192"/>
      <w:bookmarkEnd w:id="193"/>
      <w:bookmarkEnd w:id="194"/>
      <w:bookmarkEnd w:id="195"/>
    </w:p>
    <w:p w14:paraId="1DF1FED8">
      <w:pPr>
        <w:pageBreakBefore w:val="0"/>
        <w:numPr>
          <w:ilvl w:val="0"/>
          <w:numId w:val="0"/>
        </w:numPr>
        <w:kinsoku/>
        <w:wordWrap/>
        <w:overflowPunct/>
        <w:topLinePunct w:val="0"/>
        <w:autoSpaceDE/>
        <w:autoSpaceDN/>
        <w:bidi w:val="0"/>
        <w:spacing w:before="157" w:beforeLines="50" w:after="157" w:afterLines="50" w:line="360" w:lineRule="auto"/>
        <w:ind w:firstLine="420" w:firstLineChars="200"/>
        <w:textAlignment w:val="auto"/>
        <w:rPr>
          <w:rFonts w:hint="eastAsia" w:ascii="Times New Roman Regular" w:hAnsi="Times New Roman Regular" w:eastAsia="宋体" w:cs="Times New Roman Regular"/>
          <w:b w:val="0"/>
          <w:bCs w:val="0"/>
          <w:sz w:val="21"/>
          <w:szCs w:val="21"/>
          <w:lang w:val="en-US" w:eastAsia="zh-CN"/>
        </w:rPr>
      </w:pPr>
      <w:r>
        <w:rPr>
          <w:rFonts w:hint="default" w:ascii="Times New Roman Regular" w:hAnsi="Times New Roman Regular" w:eastAsia="宋体" w:cs="Times New Roman Regular"/>
          <w:b w:val="0"/>
          <w:bCs w:val="0"/>
          <w:sz w:val="21"/>
          <w:szCs w:val="21"/>
          <w:lang w:eastAsia="zh-CN"/>
        </w:rPr>
        <w:t>附录由资料性附录组成，补充正文。</w:t>
      </w:r>
    </w:p>
    <w:p w14:paraId="4C23899E">
      <w:pPr>
        <w:keepNext w:val="0"/>
        <w:keepLines w:val="0"/>
        <w:pageBreakBefore w:val="0"/>
        <w:numPr>
          <w:ilvl w:val="0"/>
          <w:numId w:val="15"/>
        </w:numPr>
        <w:kinsoku/>
        <w:wordWrap/>
        <w:overflowPunct/>
        <w:topLinePunct w:val="0"/>
        <w:autoSpaceDE/>
        <w:autoSpaceDN/>
        <w:bidi w:val="0"/>
        <w:adjustRightInd/>
        <w:snapToGrid/>
        <w:spacing w:before="157" w:beforeLines="50" w:after="157" w:afterLines="50" w:line="360" w:lineRule="auto"/>
        <w:ind w:leftChars="0" w:firstLine="480" w:firstLineChars="200"/>
        <w:textAlignment w:val="auto"/>
        <w:outlineLvl w:val="1"/>
        <w:rPr>
          <w:rFonts w:hint="eastAsia" w:ascii="黑体" w:hAnsi="黑体" w:eastAsia="黑体" w:cs="黑体"/>
          <w:b w:val="0"/>
          <w:bCs w:val="0"/>
          <w:color w:val="000000" w:themeColor="text1"/>
          <w:sz w:val="24"/>
          <w:szCs w:val="24"/>
          <w14:textFill>
            <w14:solidFill>
              <w14:schemeClr w14:val="tx1"/>
            </w14:solidFill>
          </w14:textFill>
        </w:rPr>
      </w:pPr>
      <w:bookmarkStart w:id="196" w:name="_Toc1958353444"/>
      <w:bookmarkStart w:id="197" w:name="_Toc1558753391"/>
      <w:r>
        <w:rPr>
          <w:rFonts w:hint="eastAsia" w:ascii="黑体" w:hAnsi="黑体" w:eastAsia="黑体" w:cs="黑体"/>
          <w:b w:val="0"/>
          <w:bCs w:val="0"/>
          <w:color w:val="000000" w:themeColor="text1"/>
          <w:sz w:val="24"/>
          <w:szCs w:val="24"/>
          <w:lang w:val="en-US" w:eastAsia="zh-CN"/>
          <w14:textFill>
            <w14:solidFill>
              <w14:schemeClr w14:val="tx1"/>
            </w14:solidFill>
          </w14:textFill>
        </w:rPr>
        <w:t>编制特点</w:t>
      </w:r>
      <w:bookmarkEnd w:id="196"/>
      <w:bookmarkEnd w:id="197"/>
    </w:p>
    <w:p w14:paraId="203970C9">
      <w:pPr>
        <w:pageBreakBefore w:val="0"/>
        <w:numPr>
          <w:ilvl w:val="0"/>
          <w:numId w:val="0"/>
        </w:numPr>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本标准条文的设置和技术要求的规定体现了以下重要特点：</w:t>
      </w:r>
    </w:p>
    <w:p w14:paraId="37BF77B3">
      <w:pPr>
        <w:keepNext w:val="0"/>
        <w:keepLines w:val="0"/>
        <w:pageBreakBefore w:val="0"/>
        <w:numPr>
          <w:ilvl w:val="0"/>
          <w:numId w:val="17"/>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eastAsia" w:ascii="Times New Roman Regular" w:hAnsi="Times New Roman Regular" w:eastAsia="宋体" w:cs="Times New Roman Regular"/>
          <w:b/>
          <w:bCs/>
          <w:kern w:val="2"/>
          <w:sz w:val="21"/>
          <w:szCs w:val="21"/>
          <w:lang w:val="en-US" w:eastAsia="zh-CN"/>
        </w:rPr>
      </w:pPr>
      <w:bookmarkStart w:id="198" w:name="_Toc1711959386"/>
      <w:r>
        <w:rPr>
          <w:rFonts w:hint="eastAsia" w:ascii="Times New Roman Regular" w:hAnsi="Times New Roman Regular" w:eastAsia="宋体" w:cs="Times New Roman Regular"/>
          <w:b/>
          <w:bCs/>
          <w:kern w:val="2"/>
          <w:sz w:val="21"/>
          <w:szCs w:val="21"/>
          <w:lang w:val="en-US" w:eastAsia="zh-CN"/>
        </w:rPr>
        <w:t>统一性</w:t>
      </w:r>
      <w:bookmarkEnd w:id="198"/>
    </w:p>
    <w:p w14:paraId="5A83C193">
      <w:pPr>
        <w:pageBreakBefore w:val="0"/>
        <w:numPr>
          <w:ilvl w:val="-1"/>
          <w:numId w:val="0"/>
        </w:numPr>
        <w:kinsoku/>
        <w:wordWrap/>
        <w:overflowPunct/>
        <w:topLinePunct w:val="0"/>
        <w:autoSpaceDE/>
        <w:autoSpaceDN/>
        <w:bidi w:val="0"/>
        <w:spacing w:before="157" w:beforeLines="50" w:after="157" w:afterLines="50" w:line="360" w:lineRule="auto"/>
        <w:ind w:left="0" w:firstLine="420" w:firstLineChars="20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相同应用场景，技术要求应保持一致。本标准给出了统一的工艺结构和性能要求，而非简单罗列各标准要求。</w:t>
      </w:r>
    </w:p>
    <w:p w14:paraId="62DA3033">
      <w:pPr>
        <w:keepNext w:val="0"/>
        <w:keepLines w:val="0"/>
        <w:pageBreakBefore w:val="0"/>
        <w:numPr>
          <w:ilvl w:val="0"/>
          <w:numId w:val="17"/>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eastAsia" w:ascii="Times New Roman Regular" w:hAnsi="Times New Roman Regular" w:eastAsia="宋体" w:cs="Times New Roman Regular"/>
          <w:b/>
          <w:bCs/>
          <w:kern w:val="2"/>
          <w:sz w:val="21"/>
          <w:szCs w:val="21"/>
          <w:lang w:val="en-US" w:eastAsia="zh-CN"/>
        </w:rPr>
      </w:pPr>
      <w:bookmarkStart w:id="199" w:name="_Toc915497996"/>
      <w:r>
        <w:rPr>
          <w:rFonts w:hint="eastAsia" w:ascii="Times New Roman Regular" w:hAnsi="Times New Roman Regular" w:eastAsia="宋体" w:cs="Times New Roman Regular"/>
          <w:b/>
          <w:bCs/>
          <w:kern w:val="2"/>
          <w:sz w:val="21"/>
          <w:szCs w:val="21"/>
          <w:lang w:val="en-US" w:eastAsia="zh-CN"/>
        </w:rPr>
        <w:t>科学性</w:t>
      </w:r>
      <w:bookmarkEnd w:id="199"/>
    </w:p>
    <w:p w14:paraId="53222DD9">
      <w:pPr>
        <w:pageBreakBefore w:val="0"/>
        <w:numPr>
          <w:ilvl w:val="-1"/>
          <w:numId w:val="0"/>
        </w:numPr>
        <w:kinsoku/>
        <w:wordWrap/>
        <w:overflowPunct/>
        <w:topLinePunct w:val="0"/>
        <w:autoSpaceDE/>
        <w:autoSpaceDN/>
        <w:bidi w:val="0"/>
        <w:spacing w:before="157" w:beforeLines="50" w:after="157" w:afterLines="50" w:line="360" w:lineRule="auto"/>
        <w:ind w:left="482" w:firstLine="0" w:firstLineChars="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功能和质量指标的设置，充分考虑了影响供应商报价和项目实施风险的因素。</w:t>
      </w:r>
    </w:p>
    <w:p w14:paraId="07CB7058">
      <w:pPr>
        <w:keepNext w:val="0"/>
        <w:keepLines w:val="0"/>
        <w:pageBreakBefore w:val="0"/>
        <w:numPr>
          <w:ilvl w:val="0"/>
          <w:numId w:val="17"/>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eastAsia" w:ascii="Times New Roman Regular" w:hAnsi="Times New Roman Regular" w:eastAsia="宋体" w:cs="Times New Roman Regular"/>
          <w:b/>
          <w:bCs/>
          <w:kern w:val="2"/>
          <w:sz w:val="21"/>
          <w:szCs w:val="21"/>
          <w:lang w:val="en-US" w:eastAsia="zh-CN"/>
        </w:rPr>
      </w:pPr>
      <w:bookmarkStart w:id="200" w:name="_Toc54488017"/>
      <w:r>
        <w:rPr>
          <w:rFonts w:hint="eastAsia" w:ascii="Times New Roman Regular" w:hAnsi="Times New Roman Regular" w:eastAsia="宋体" w:cs="Times New Roman Regular"/>
          <w:b/>
          <w:bCs/>
          <w:kern w:val="2"/>
          <w:sz w:val="21"/>
          <w:szCs w:val="21"/>
          <w:lang w:val="en-US" w:eastAsia="zh-CN"/>
        </w:rPr>
        <w:t>实践性</w:t>
      </w:r>
      <w:bookmarkEnd w:id="200"/>
    </w:p>
    <w:p w14:paraId="31E60D5E">
      <w:pPr>
        <w:pageBreakBefore w:val="0"/>
        <w:numPr>
          <w:ilvl w:val="-1"/>
          <w:numId w:val="0"/>
        </w:numPr>
        <w:kinsoku/>
        <w:wordWrap/>
        <w:overflowPunct/>
        <w:topLinePunct w:val="0"/>
        <w:autoSpaceDE/>
        <w:autoSpaceDN/>
        <w:bidi w:val="0"/>
        <w:spacing w:before="157" w:beforeLines="50" w:after="157" w:afterLines="50" w:line="360" w:lineRule="auto"/>
        <w:ind w:left="0" w:firstLine="420" w:firstLineChars="20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场景化应用，提供“全文引用、修改引用、选择引用”三种模式，适配不同项目复杂度。</w:t>
      </w:r>
    </w:p>
    <w:p w14:paraId="0E4E351D">
      <w:pPr>
        <w:pageBreakBefore w:val="0"/>
        <w:numPr>
          <w:ilvl w:val="0"/>
          <w:numId w:val="17"/>
        </w:numPr>
        <w:kinsoku/>
        <w:wordWrap/>
        <w:overflowPunct/>
        <w:topLinePunct w:val="0"/>
        <w:autoSpaceDE/>
        <w:autoSpaceDN/>
        <w:bidi w:val="0"/>
        <w:spacing w:before="157" w:beforeLines="50" w:after="157" w:afterLines="50" w:line="360" w:lineRule="auto"/>
        <w:ind w:firstLine="482" w:firstLineChars="0"/>
        <w:textAlignment w:val="auto"/>
        <w:outlineLvl w:val="2"/>
        <w:rPr>
          <w:rFonts w:hint="eastAsia" w:ascii="Times New Roman Regular" w:hAnsi="Times New Roman Regular" w:eastAsia="宋体" w:cs="Times New Roman Regular"/>
          <w:b/>
          <w:bCs/>
          <w:sz w:val="21"/>
          <w:szCs w:val="21"/>
          <w:lang w:val="en-US" w:eastAsia="zh-CN"/>
        </w:rPr>
      </w:pPr>
      <w:bookmarkStart w:id="201" w:name="_Toc952068097"/>
      <w:r>
        <w:rPr>
          <w:rFonts w:hint="eastAsia" w:ascii="Times New Roman Regular" w:hAnsi="Times New Roman Regular" w:eastAsia="宋体" w:cs="Times New Roman Regular"/>
          <w:b/>
          <w:bCs/>
          <w:kern w:val="2"/>
          <w:sz w:val="21"/>
          <w:szCs w:val="21"/>
          <w:lang w:val="en-US" w:eastAsia="zh-CN"/>
        </w:rPr>
        <w:t>全面性</w:t>
      </w:r>
      <w:bookmarkEnd w:id="201"/>
    </w:p>
    <w:p w14:paraId="1EC49080">
      <w:pPr>
        <w:pageBreakBefore w:val="0"/>
        <w:numPr>
          <w:ilvl w:val="-1"/>
          <w:numId w:val="0"/>
        </w:numPr>
        <w:kinsoku/>
        <w:wordWrap/>
        <w:overflowPunct/>
        <w:topLinePunct w:val="0"/>
        <w:autoSpaceDE/>
        <w:autoSpaceDN/>
        <w:bidi w:val="0"/>
        <w:spacing w:before="157" w:beforeLines="50" w:after="157" w:afterLines="50" w:line="360" w:lineRule="auto"/>
        <w:ind w:left="0" w:firstLine="420" w:firstLineChars="20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全生命周期管理，从招标技术书编制到合同履约验收，覆盖电缆采购全流程。</w:t>
      </w:r>
    </w:p>
    <w:p w14:paraId="604248DD">
      <w:pPr>
        <w:pageBreakBefore w:val="0"/>
        <w:numPr>
          <w:ilvl w:val="0"/>
          <w:numId w:val="17"/>
        </w:numPr>
        <w:kinsoku/>
        <w:wordWrap/>
        <w:overflowPunct/>
        <w:topLinePunct w:val="0"/>
        <w:autoSpaceDE/>
        <w:autoSpaceDN/>
        <w:bidi w:val="0"/>
        <w:spacing w:before="157" w:beforeLines="50" w:after="157" w:afterLines="50" w:line="360" w:lineRule="auto"/>
        <w:ind w:firstLine="482" w:firstLineChars="0"/>
        <w:textAlignment w:val="auto"/>
        <w:outlineLvl w:val="2"/>
        <w:rPr>
          <w:rFonts w:hint="eastAsia" w:ascii="Times New Roman Regular" w:hAnsi="Times New Roman Regular" w:eastAsia="宋体" w:cs="Times New Roman Regular"/>
          <w:b/>
          <w:bCs/>
          <w:sz w:val="21"/>
          <w:szCs w:val="21"/>
          <w:lang w:val="en-US" w:eastAsia="zh-CN"/>
        </w:rPr>
      </w:pPr>
      <w:bookmarkStart w:id="202" w:name="_Toc507852482"/>
      <w:r>
        <w:rPr>
          <w:rFonts w:hint="eastAsia" w:ascii="Times New Roman Regular" w:hAnsi="Times New Roman Regular" w:eastAsia="宋体" w:cs="Times New Roman Regular"/>
          <w:b/>
          <w:bCs/>
          <w:kern w:val="2"/>
          <w:sz w:val="21"/>
          <w:szCs w:val="21"/>
          <w:lang w:val="en-US" w:eastAsia="zh-CN"/>
        </w:rPr>
        <w:t>先进性</w:t>
      </w:r>
      <w:bookmarkEnd w:id="202"/>
    </w:p>
    <w:p w14:paraId="75959DC7">
      <w:pPr>
        <w:pageBreakBefore w:val="0"/>
        <w:numPr>
          <w:ilvl w:val="-1"/>
          <w:numId w:val="0"/>
        </w:numPr>
        <w:kinsoku/>
        <w:wordWrap/>
        <w:overflowPunct/>
        <w:topLinePunct w:val="0"/>
        <w:autoSpaceDE/>
        <w:autoSpaceDN/>
        <w:bidi w:val="0"/>
        <w:spacing w:before="157" w:beforeLines="50" w:after="157" w:afterLines="50" w:line="360" w:lineRule="auto"/>
        <w:ind w:left="0" w:firstLine="420" w:firstLineChars="20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数据驱动，通过表格化技术参数（如结构参数表、电气及其他参数表、非电气参数表），提升可执行性。</w:t>
      </w:r>
    </w:p>
    <w:p w14:paraId="3BE76B27">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eastAsia" w:ascii="黑体" w:hAnsi="黑体" w:eastAsia="黑体" w:cs="黑体"/>
          <w:b w:val="0"/>
          <w:bCs/>
          <w:sz w:val="28"/>
          <w:szCs w:val="28"/>
          <w:lang w:val="en-US" w:eastAsia="zh-CN"/>
        </w:rPr>
      </w:pPr>
      <w:bookmarkStart w:id="203" w:name="_Toc2107"/>
      <w:bookmarkStart w:id="204" w:name="_Toc385498374"/>
      <w:bookmarkStart w:id="205" w:name="_Toc25375"/>
      <w:bookmarkStart w:id="206" w:name="_Toc220"/>
      <w:bookmarkStart w:id="207" w:name="_Toc23786"/>
      <w:bookmarkStart w:id="208" w:name="_Toc17639"/>
      <w:bookmarkStart w:id="209" w:name="_Toc31065"/>
      <w:bookmarkStart w:id="210" w:name="_Toc1376651796"/>
      <w:bookmarkStart w:id="211" w:name="_Toc21551"/>
      <w:bookmarkStart w:id="212" w:name="_Toc31550"/>
      <w:bookmarkStart w:id="213" w:name="_Toc30636"/>
      <w:bookmarkStart w:id="214" w:name="_Toc4353"/>
      <w:bookmarkStart w:id="215" w:name="_Toc5932"/>
      <w:bookmarkStart w:id="216" w:name="_Toc14213"/>
      <w:r>
        <w:rPr>
          <w:rFonts w:hint="eastAsia" w:ascii="黑体" w:hAnsi="黑体" w:eastAsia="黑体" w:cs="黑体"/>
          <w:b w:val="0"/>
          <w:bCs/>
          <w:sz w:val="28"/>
          <w:szCs w:val="28"/>
          <w:lang w:val="en-US" w:eastAsia="zh-CN"/>
        </w:rPr>
        <w:t>重大意见分歧的处理经过和依据</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25B3E4F5">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无重大意见分歧。</w:t>
      </w:r>
    </w:p>
    <w:p w14:paraId="4E0CACEE">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default" w:ascii="黑体" w:hAnsi="黑体" w:eastAsia="黑体" w:cs="黑体"/>
          <w:b w:val="0"/>
          <w:bCs/>
          <w:sz w:val="28"/>
          <w:szCs w:val="28"/>
          <w:lang w:val="en-US" w:eastAsia="zh-CN"/>
        </w:rPr>
      </w:pPr>
      <w:bookmarkStart w:id="217" w:name="_Toc24438"/>
      <w:bookmarkStart w:id="218" w:name="_Toc30374"/>
      <w:bookmarkStart w:id="219" w:name="_Toc16446"/>
      <w:bookmarkStart w:id="220" w:name="_Toc24824"/>
      <w:bookmarkStart w:id="221" w:name="_Toc397922594"/>
      <w:bookmarkStart w:id="222" w:name="_Toc4678"/>
      <w:bookmarkStart w:id="223" w:name="_Toc20007"/>
      <w:bookmarkStart w:id="224" w:name="_Toc9147"/>
      <w:bookmarkStart w:id="225" w:name="_Toc15080"/>
      <w:bookmarkStart w:id="226" w:name="_Toc8894"/>
      <w:bookmarkStart w:id="227" w:name="_Toc113008819"/>
      <w:bookmarkStart w:id="228" w:name="_Toc23317"/>
      <w:bookmarkStart w:id="229" w:name="_Toc14748"/>
      <w:bookmarkStart w:id="230" w:name="_Toc26432"/>
      <w:r>
        <w:rPr>
          <w:rFonts w:hint="default" w:ascii="黑体" w:hAnsi="黑体" w:eastAsia="黑体" w:cs="黑体"/>
          <w:b w:val="0"/>
          <w:bCs/>
          <w:sz w:val="28"/>
          <w:szCs w:val="28"/>
          <w:lang w:val="en-US" w:eastAsia="zh-CN"/>
        </w:rPr>
        <w:t>采标情况</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115FAAD6">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未采用国际标准。</w:t>
      </w:r>
    </w:p>
    <w:p w14:paraId="4A3322F9">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default" w:ascii="黑体" w:hAnsi="黑体" w:eastAsia="黑体" w:cs="黑体"/>
          <w:b w:val="0"/>
          <w:bCs/>
          <w:sz w:val="28"/>
          <w:szCs w:val="28"/>
          <w:lang w:val="en-US" w:eastAsia="zh-CN"/>
        </w:rPr>
      </w:pPr>
      <w:bookmarkStart w:id="231" w:name="_Toc21972"/>
      <w:bookmarkStart w:id="232" w:name="_Toc620960600"/>
      <w:bookmarkStart w:id="233" w:name="_Toc14320"/>
      <w:bookmarkStart w:id="234" w:name="_Toc636"/>
      <w:bookmarkStart w:id="235" w:name="_Toc15132"/>
      <w:bookmarkStart w:id="236" w:name="_Toc21425"/>
      <w:bookmarkStart w:id="237" w:name="_Toc963676985"/>
      <w:bookmarkStart w:id="238" w:name="_Toc30979"/>
      <w:bookmarkStart w:id="239" w:name="_Toc26590"/>
      <w:bookmarkStart w:id="240" w:name="_Toc21166"/>
      <w:bookmarkStart w:id="241" w:name="_Toc29139"/>
      <w:bookmarkStart w:id="242" w:name="_Toc394"/>
      <w:bookmarkStart w:id="243" w:name="_Toc4728"/>
      <w:bookmarkStart w:id="244" w:name="_Toc32756"/>
      <w:r>
        <w:rPr>
          <w:rFonts w:hint="default" w:ascii="黑体" w:hAnsi="黑体" w:eastAsia="黑体" w:cs="黑体"/>
          <w:b w:val="0"/>
          <w:bCs/>
          <w:sz w:val="28"/>
          <w:szCs w:val="28"/>
          <w:lang w:val="en-US" w:eastAsia="zh-CN"/>
        </w:rPr>
        <w:t>与现行法律法规和强制性国家标准的关系</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025B1950">
      <w:pPr>
        <w:pageBreakBefore w:val="0"/>
        <w:numPr>
          <w:ilvl w:val="0"/>
          <w:numId w:val="0"/>
        </w:numPr>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 w:val="0"/>
          <w:bCs w:val="0"/>
          <w:sz w:val="21"/>
          <w:szCs w:val="21"/>
          <w:lang w:val="en-US" w:eastAsia="zh-CN"/>
        </w:rPr>
        <w:t>本标准的编制从实际生产和需求出发，遵循最大共性和实际需求原则。现有标准较为一致的部分，遵循最大共性原则，一般不作更改；确有实际需求及生产，而标准没有更新的部分，做适当更新。</w:t>
      </w:r>
    </w:p>
    <w:sectPr>
      <w:headerReference r:id="rId5" w:type="default"/>
      <w:footerReference r:id="rId7" w:type="default"/>
      <w:headerReference r:id="rId6" w:type="even"/>
      <w:footerReference r:id="rId8" w:type="even"/>
      <w:pgSz w:w="11906" w:h="16838"/>
      <w:pgMar w:top="1440" w:right="1276" w:bottom="1440" w:left="1276" w:header="1417" w:footer="1134" w:gutter="0"/>
      <w:pgBorders>
        <w:top w:val="none" w:sz="0" w:space="0"/>
        <w:left w:val="none" w:sz="0" w:space="0"/>
        <w:bottom w:val="none" w:sz="0" w:space="0"/>
        <w:right w:val="none" w:sz="0" w:space="0"/>
      </w:pgBorders>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Univers">
    <w:altName w:val="苹方-简"/>
    <w:panose1 w:val="020B0603020202030204"/>
    <w:charset w:val="00"/>
    <w:family w:val="swiss"/>
    <w:pitch w:val="default"/>
    <w:sig w:usb0="00000000" w:usb1="00000000" w:usb2="00000000" w:usb3="00000000" w:csb0="00000001" w:csb1="00000000"/>
  </w:font>
  <w:font w:name="Cambria">
    <w:altName w:val="苹方-简"/>
    <w:panose1 w:val="02040503050406030204"/>
    <w:charset w:val="00"/>
    <w:family w:val="roman"/>
    <w:pitch w:val="default"/>
    <w:sig w:usb0="00000000" w:usb1="00000000" w:usb2="02000000" w:usb3="00000000" w:csb0="2000019F" w:csb1="00000000"/>
  </w:font>
  <w:font w:name="Times New Roman Regular">
    <w:panose1 w:val="02020603050405020304"/>
    <w:charset w:val="00"/>
    <w:family w:val="auto"/>
    <w:pitch w:val="default"/>
    <w:sig w:usb0="E0002AEF" w:usb1="C0007841" w:usb2="00000009" w:usb3="00000000" w:csb0="400001FF" w:csb1="FFFF0000"/>
  </w:font>
  <w:font w:name="微软雅黑">
    <w:altName w:val="汉仪旗黑"/>
    <w:panose1 w:val="020B0503020204020204"/>
    <w:charset w:val="86"/>
    <w:family w:val="auto"/>
    <w:pitch w:val="default"/>
    <w:sig w:usb0="00000000" w:usb1="00000000" w:usb2="00000016" w:usb3="00000000" w:csb0="0004001F"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冬青黑体简体中文">
    <w:panose1 w:val="020B0300000000000000"/>
    <w:charset w:val="86"/>
    <w:family w:val="auto"/>
    <w:pitch w:val="default"/>
    <w:sig w:usb0="A00002BF" w:usb1="1ACF7CFA" w:usb2="00000016" w:usb3="00000000" w:csb0="00060007" w:csb1="00000000"/>
  </w:font>
  <w:font w:name="汉仪旗黑">
    <w:panose1 w:val="00020600040101010101"/>
    <w:charset w:val="86"/>
    <w:family w:val="auto"/>
    <w:pitch w:val="default"/>
    <w:sig w:usb0="A00002BF" w:usb1="1ACF7CFA" w:usb2="00000016" w:usb3="00000000" w:csb0="0004009F" w:csb1="DFD70000"/>
  </w:font>
  <w:font w:name="Kingsoft Sign">
    <w:panose1 w:val="05050102010706020507"/>
    <w:charset w:val="00"/>
    <w:family w:val="auto"/>
    <w:pitch w:val="default"/>
    <w:sig w:usb0="00000000" w:usb1="10000000" w:usb2="00000000" w:usb3="00000000" w:csb0="00000001" w:csb1="00000000"/>
  </w:font>
  <w:font w:name="苹方-简">
    <w:altName w:val="Times New Roman"/>
    <w:panose1 w:val="020B0600000000000000"/>
    <w:charset w:val="00"/>
    <w:family w:val="auto"/>
    <w:pitch w:val="default"/>
    <w:sig w:usb0="A00002FF" w:usb1="7ACFFDFB" w:usb2="00000017" w:usb3="00000000" w:csb0="00040001" w:csb1="00000000"/>
  </w:font>
  <w:font w:name="PingFang SC">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42B52">
    <w:pPr>
      <w:pStyle w:val="14"/>
      <w:jc w:val="center"/>
    </w:pPr>
  </w:p>
  <w:p w14:paraId="64172867">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33BF2">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D1363">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0E3668">
                          <w:pPr>
                            <w:pStyle w:val="14"/>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  \* MERGEFORMAT </w:instrText>
                          </w:r>
                          <w:r>
                            <w:rPr>
                              <w:rFonts w:ascii="Times New Roman Regular" w:hAnsi="Times New Roman Regular" w:cs="Times New Roman Regular"/>
                            </w:rPr>
                            <w:fldChar w:fldCharType="separate"/>
                          </w:r>
                          <w:r>
                            <w:rPr>
                              <w:rFonts w:ascii="Times New Roman Regular" w:hAnsi="Times New Roman Regular" w:cs="Times New Roman Regular"/>
                            </w:rPr>
                            <w:t>1</w:t>
                          </w:r>
                          <w:r>
                            <w:rPr>
                              <w:rFonts w:ascii="Times New Roman Regular" w:hAnsi="Times New Roman Regular"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30E3668">
                    <w:pPr>
                      <w:pStyle w:val="14"/>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  \* MERGEFORMAT </w:instrText>
                    </w:r>
                    <w:r>
                      <w:rPr>
                        <w:rFonts w:ascii="Times New Roman Regular" w:hAnsi="Times New Roman Regular" w:cs="Times New Roman Regular"/>
                      </w:rPr>
                      <w:fldChar w:fldCharType="separate"/>
                    </w:r>
                    <w:r>
                      <w:rPr>
                        <w:rFonts w:ascii="Times New Roman Regular" w:hAnsi="Times New Roman Regular" w:cs="Times New Roman Regular"/>
                      </w:rPr>
                      <w:t>1</w:t>
                    </w:r>
                    <w:r>
                      <w:rPr>
                        <w:rFonts w:ascii="Times New Roman Regular" w:hAnsi="Times New Roman Regular" w:cs="Times New Roman Regular"/>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C84DB">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7A8D59">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C7A8D59">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4BC19">
    <w:pPr>
      <w:pStyle w:val="15"/>
      <w:spacing w:after="283"/>
      <w:jc w:val="right"/>
      <w:rPr>
        <w:rFonts w:hint="default" w:ascii="Times New Roman Regular" w:hAnsi="Times New Roman Regular" w:eastAsia="宋体" w:cs="Times New Roman Regular"/>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D27F4">
    <w:pPr>
      <w:pStyle w:val="15"/>
      <w:spacing w:after="283"/>
      <w:jc w:val="left"/>
      <w:rPr>
        <w:rFonts w:ascii="Times New Roman Regular" w:hAnsi="Times New Roman Regular" w:cs="Times New Roman Regula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72B76F"/>
    <w:multiLevelType w:val="singleLevel"/>
    <w:tmpl w:val="9B72B76F"/>
    <w:lvl w:ilvl="0" w:tentative="0">
      <w:start w:val="1"/>
      <w:numFmt w:val="decimal"/>
      <w:lvlText w:val="%1."/>
      <w:lvlJc w:val="left"/>
      <w:pPr>
        <w:tabs>
          <w:tab w:val="left" w:pos="312"/>
        </w:tabs>
      </w:pPr>
      <w:rPr>
        <w:rFonts w:hint="default" w:ascii="Times New Roman" w:hAnsi="Times New Roman" w:eastAsia="宋体" w:cs="Times New Roman"/>
        <w:b w:val="0"/>
        <w:bCs w:val="0"/>
      </w:rPr>
    </w:lvl>
  </w:abstractNum>
  <w:abstractNum w:abstractNumId="1">
    <w:nsid w:val="9FFE723B"/>
    <w:multiLevelType w:val="singleLevel"/>
    <w:tmpl w:val="9FFE723B"/>
    <w:lvl w:ilvl="0" w:tentative="0">
      <w:start w:val="1"/>
      <w:numFmt w:val="decimal"/>
      <w:suff w:val="nothing"/>
      <w:lvlText w:val="%1．"/>
      <w:lvlJc w:val="left"/>
      <w:pPr>
        <w:ind w:left="0" w:firstLine="400"/>
      </w:pPr>
      <w:rPr>
        <w:rFonts w:hint="default" w:ascii="Times New Roman Regular" w:hAnsi="Times New Roman Regular" w:cs="Times New Roman Regular"/>
      </w:rPr>
    </w:lvl>
  </w:abstractNum>
  <w:abstractNum w:abstractNumId="2">
    <w:nsid w:val="CFFA3288"/>
    <w:multiLevelType w:val="singleLevel"/>
    <w:tmpl w:val="CFFA3288"/>
    <w:lvl w:ilvl="0" w:tentative="0">
      <w:start w:val="1"/>
      <w:numFmt w:val="decimal"/>
      <w:lvlText w:val="%1."/>
      <w:lvlJc w:val="left"/>
      <w:pPr>
        <w:tabs>
          <w:tab w:val="left" w:pos="312"/>
        </w:tabs>
      </w:pPr>
      <w:rPr>
        <w:rFonts w:hint="default" w:ascii="Times New Roman" w:hAnsi="Times New Roman" w:eastAsia="宋体" w:cs="Times New Roman"/>
        <w:b w:val="0"/>
        <w:bCs w:val="0"/>
      </w:rPr>
    </w:lvl>
  </w:abstractNum>
  <w:abstractNum w:abstractNumId="3">
    <w:nsid w:val="DBBCD977"/>
    <w:multiLevelType w:val="multilevel"/>
    <w:tmpl w:val="DBBCD977"/>
    <w:lvl w:ilvl="0" w:tentative="0">
      <w:start w:val="1"/>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4">
    <w:nsid w:val="DCF38E53"/>
    <w:multiLevelType w:val="singleLevel"/>
    <w:tmpl w:val="DCF38E53"/>
    <w:lvl w:ilvl="0" w:tentative="0">
      <w:start w:val="1"/>
      <w:numFmt w:val="decimal"/>
      <w:lvlText w:val="%1."/>
      <w:lvlJc w:val="left"/>
      <w:pPr>
        <w:tabs>
          <w:tab w:val="left" w:pos="312"/>
        </w:tabs>
      </w:pPr>
      <w:rPr>
        <w:rFonts w:hint="default" w:ascii="Times New Roman Regular" w:hAnsi="Times New Roman Regular" w:eastAsia="宋体" w:cs="Times New Roman Regular"/>
      </w:rPr>
    </w:lvl>
  </w:abstractNum>
  <w:abstractNum w:abstractNumId="5">
    <w:nsid w:val="DFF3BAB6"/>
    <w:multiLevelType w:val="singleLevel"/>
    <w:tmpl w:val="DFF3BAB6"/>
    <w:lvl w:ilvl="0" w:tentative="0">
      <w:start w:val="1"/>
      <w:numFmt w:val="chineseCounting"/>
      <w:suff w:val="nothing"/>
      <w:lvlText w:val="%1、"/>
      <w:lvlJc w:val="left"/>
      <w:pPr>
        <w:ind w:left="0" w:firstLine="420"/>
      </w:pPr>
      <w:rPr>
        <w:rFonts w:hint="eastAsia"/>
      </w:rPr>
    </w:lvl>
  </w:abstractNum>
  <w:abstractNum w:abstractNumId="6">
    <w:nsid w:val="F5F65BB9"/>
    <w:multiLevelType w:val="singleLevel"/>
    <w:tmpl w:val="F5F65BB9"/>
    <w:lvl w:ilvl="0" w:tentative="0">
      <w:start w:val="1"/>
      <w:numFmt w:val="chineseCounting"/>
      <w:suff w:val="nothing"/>
      <w:lvlText w:val="（%1）"/>
      <w:lvlJc w:val="left"/>
      <w:pPr>
        <w:ind w:left="0" w:firstLine="420"/>
      </w:pPr>
      <w:rPr>
        <w:rFonts w:hint="eastAsia"/>
      </w:rPr>
    </w:lvl>
  </w:abstractNum>
  <w:abstractNum w:abstractNumId="7">
    <w:nsid w:val="FB44FFFB"/>
    <w:multiLevelType w:val="multilevel"/>
    <w:tmpl w:val="FB44FFFB"/>
    <w:lvl w:ilvl="0" w:tentative="0">
      <w:start w:val="1"/>
      <w:numFmt w:val="decimal"/>
      <w:pStyle w:val="47"/>
      <w:suff w:val="nothing"/>
      <w:lvlText w:val="表5.%1　"/>
      <w:lvlJc w:val="left"/>
      <w:pPr>
        <w:tabs>
          <w:tab w:val="left" w:pos="0"/>
        </w:tabs>
        <w:ind w:left="3545" w:firstLine="0"/>
      </w:pPr>
      <w:rPr>
        <w:rFonts w:hint="default" w:ascii="黑体" w:hAnsi="Times New Roman" w:eastAsia="黑体"/>
        <w:b w:val="0"/>
        <w:i w:val="0"/>
        <w:sz w:val="21"/>
        <w:lang w:val="en-US"/>
      </w:rPr>
    </w:lvl>
    <w:lvl w:ilvl="1" w:tentative="0">
      <w:start w:val="1"/>
      <w:numFmt w:val="decimal"/>
      <w:lvlText w:val="%1.%2"/>
      <w:lvlJc w:val="left"/>
      <w:pPr>
        <w:tabs>
          <w:tab w:val="left" w:pos="3828"/>
        </w:tabs>
        <w:ind w:left="3828" w:hanging="567"/>
      </w:pPr>
      <w:rPr>
        <w:rFonts w:hint="eastAsia"/>
      </w:rPr>
    </w:lvl>
    <w:lvl w:ilvl="2" w:tentative="0">
      <w:start w:val="1"/>
      <w:numFmt w:val="decimal"/>
      <w:lvlText w:val="%1.%2.%3"/>
      <w:lvlJc w:val="left"/>
      <w:pPr>
        <w:tabs>
          <w:tab w:val="left" w:pos="4254"/>
        </w:tabs>
        <w:ind w:left="4254" w:hanging="567"/>
      </w:pPr>
      <w:rPr>
        <w:rFonts w:hint="eastAsia"/>
      </w:rPr>
    </w:lvl>
    <w:lvl w:ilvl="3" w:tentative="0">
      <w:start w:val="1"/>
      <w:numFmt w:val="decimal"/>
      <w:lvlText w:val="%1.%2.%3.%4"/>
      <w:lvlJc w:val="left"/>
      <w:pPr>
        <w:tabs>
          <w:tab w:val="left" w:pos="4820"/>
        </w:tabs>
        <w:ind w:left="4820" w:hanging="708"/>
      </w:pPr>
      <w:rPr>
        <w:rFonts w:hint="eastAsia"/>
      </w:rPr>
    </w:lvl>
    <w:lvl w:ilvl="4" w:tentative="0">
      <w:start w:val="1"/>
      <w:numFmt w:val="decimal"/>
      <w:lvlText w:val="%1.%2.%3.%4.%5"/>
      <w:lvlJc w:val="left"/>
      <w:pPr>
        <w:tabs>
          <w:tab w:val="left" w:pos="5387"/>
        </w:tabs>
        <w:ind w:left="5387" w:hanging="850"/>
      </w:pPr>
      <w:rPr>
        <w:rFonts w:hint="eastAsia"/>
      </w:rPr>
    </w:lvl>
    <w:lvl w:ilvl="5" w:tentative="0">
      <w:start w:val="1"/>
      <w:numFmt w:val="decimal"/>
      <w:lvlText w:val="%1.%2.%3.%4.%5.%6"/>
      <w:lvlJc w:val="left"/>
      <w:pPr>
        <w:tabs>
          <w:tab w:val="left" w:pos="6096"/>
        </w:tabs>
        <w:ind w:left="6096" w:hanging="1134"/>
      </w:pPr>
      <w:rPr>
        <w:rFonts w:hint="eastAsia"/>
      </w:rPr>
    </w:lvl>
    <w:lvl w:ilvl="6" w:tentative="0">
      <w:start w:val="1"/>
      <w:numFmt w:val="decimal"/>
      <w:lvlText w:val="%1.%2.%3.%4.%5.%6.%7"/>
      <w:lvlJc w:val="left"/>
      <w:pPr>
        <w:tabs>
          <w:tab w:val="left" w:pos="6663"/>
        </w:tabs>
        <w:ind w:left="6663" w:hanging="1276"/>
      </w:pPr>
      <w:rPr>
        <w:rFonts w:hint="eastAsia"/>
      </w:rPr>
    </w:lvl>
    <w:lvl w:ilvl="7" w:tentative="0">
      <w:start w:val="1"/>
      <w:numFmt w:val="decimal"/>
      <w:lvlText w:val="%1.%2.%3.%4.%5.%6.%7.%8"/>
      <w:lvlJc w:val="left"/>
      <w:pPr>
        <w:tabs>
          <w:tab w:val="left" w:pos="7230"/>
        </w:tabs>
        <w:ind w:left="7230" w:hanging="1418"/>
      </w:pPr>
      <w:rPr>
        <w:rFonts w:hint="eastAsia"/>
      </w:rPr>
    </w:lvl>
    <w:lvl w:ilvl="8" w:tentative="0">
      <w:start w:val="1"/>
      <w:numFmt w:val="decimal"/>
      <w:lvlText w:val="%1.%2.%3.%4.%5.%6.%7.%8.%9"/>
      <w:lvlJc w:val="left"/>
      <w:pPr>
        <w:tabs>
          <w:tab w:val="left" w:pos="7938"/>
        </w:tabs>
        <w:ind w:left="7938" w:hanging="1700"/>
      </w:pPr>
      <w:rPr>
        <w:rFonts w:hint="eastAsia"/>
      </w:rPr>
    </w:lvl>
  </w:abstractNum>
  <w:abstractNum w:abstractNumId="8">
    <w:nsid w:val="FEBE2C9B"/>
    <w:multiLevelType w:val="singleLevel"/>
    <w:tmpl w:val="FEBE2C9B"/>
    <w:lvl w:ilvl="0" w:tentative="0">
      <w:start w:val="1"/>
      <w:numFmt w:val="decimal"/>
      <w:suff w:val="nothing"/>
      <w:lvlText w:val="%1．"/>
      <w:lvlJc w:val="left"/>
      <w:pPr>
        <w:ind w:left="0" w:firstLine="400"/>
      </w:pPr>
      <w:rPr>
        <w:rFonts w:hint="default" w:ascii="Times New Roman Regular" w:hAnsi="Times New Roman Regular" w:cs="Times New Roman Regular"/>
      </w:rPr>
    </w:lvl>
  </w:abstractNum>
  <w:abstractNum w:abstractNumId="9">
    <w:nsid w:val="FFDB1FD8"/>
    <w:multiLevelType w:val="singleLevel"/>
    <w:tmpl w:val="FFDB1FD8"/>
    <w:lvl w:ilvl="0" w:tentative="0">
      <w:start w:val="1"/>
      <w:numFmt w:val="decimal"/>
      <w:suff w:val="nothing"/>
      <w:lvlText w:val="%1．"/>
      <w:lvlJc w:val="left"/>
      <w:pPr>
        <w:ind w:left="0" w:firstLine="400"/>
      </w:pPr>
      <w:rPr>
        <w:rFonts w:hint="default" w:ascii="Times New Roman Regular" w:hAnsi="Times New Roman Regular" w:cs="Times New Roman Regular"/>
      </w:rPr>
    </w:lvl>
  </w:abstractNum>
  <w:abstractNum w:abstractNumId="10">
    <w:nsid w:val="FFF2A4A2"/>
    <w:multiLevelType w:val="singleLevel"/>
    <w:tmpl w:val="FFF2A4A2"/>
    <w:lvl w:ilvl="0" w:tentative="0">
      <w:start w:val="1"/>
      <w:numFmt w:val="decimal"/>
      <w:lvlText w:val="%1."/>
      <w:lvlJc w:val="left"/>
      <w:pPr>
        <w:tabs>
          <w:tab w:val="left" w:pos="312"/>
        </w:tabs>
      </w:pPr>
    </w:lvl>
  </w:abstractNum>
  <w:abstractNum w:abstractNumId="11">
    <w:nsid w:val="FFFFFFFB"/>
    <w:multiLevelType w:val="multilevel"/>
    <w:tmpl w:val="FFFFFFFB"/>
    <w:lvl w:ilvl="0" w:tentative="0">
      <w:start w:val="1"/>
      <w:numFmt w:val="decimal"/>
      <w:lvlText w:val="%1"/>
      <w:legacy w:legacy="1" w:legacySpace="170" w:legacyIndent="0"/>
      <w:lvlJc w:val="left"/>
      <w:rPr>
        <w:rFonts w:hint="default" w:ascii="Arial" w:hAnsi="Arial" w:cs="Arial"/>
        <w:b/>
        <w:i w:val="0"/>
        <w:sz w:val="32"/>
        <w:szCs w:val="32"/>
      </w:rPr>
    </w:lvl>
    <w:lvl w:ilvl="1" w:tentative="0">
      <w:start w:val="1"/>
      <w:numFmt w:val="decimal"/>
      <w:lvlText w:val="%1.%2"/>
      <w:legacy w:legacy="1" w:legacySpace="170" w:legacyIndent="0"/>
      <w:lvlJc w:val="left"/>
      <w:rPr>
        <w:rFonts w:hint="default" w:ascii="Arial" w:hAnsi="Arial" w:cs="Arial"/>
        <w:b w:val="0"/>
        <w:i w:val="0"/>
        <w:sz w:val="30"/>
        <w:szCs w:val="30"/>
      </w:rPr>
    </w:lvl>
    <w:lvl w:ilvl="2" w:tentative="0">
      <w:start w:val="1"/>
      <w:numFmt w:val="decimal"/>
      <w:pStyle w:val="4"/>
      <w:lvlText w:val="%1.%2.%3"/>
      <w:legacy w:legacy="1" w:legacySpace="170" w:legacyIndent="0"/>
      <w:lvlJc w:val="left"/>
      <w:rPr>
        <w:rFonts w:hint="default" w:ascii="Arial" w:hAnsi="Arial" w:cs="Arial"/>
        <w:b w:val="0"/>
        <w:i w:val="0"/>
        <w:sz w:val="28"/>
        <w:szCs w:val="28"/>
      </w:rPr>
    </w:lvl>
    <w:lvl w:ilvl="3" w:tentative="0">
      <w:start w:val="1"/>
      <w:numFmt w:val="decimal"/>
      <w:pStyle w:val="5"/>
      <w:lvlText w:val="%1.%2.%3.%4"/>
      <w:legacy w:legacy="1" w:legacySpace="170" w:legacyIndent="0"/>
      <w:lvlJc w:val="left"/>
    </w:lvl>
    <w:lvl w:ilvl="4" w:tentative="0">
      <w:start w:val="1"/>
      <w:numFmt w:val="decimal"/>
      <w:pStyle w:val="6"/>
      <w:lvlText w:val="%1.%2.%3.%4.%5"/>
      <w:legacy w:legacy="1" w:legacySpace="170" w:legacyIndent="0"/>
      <w:lvlJc w:val="left"/>
    </w:lvl>
    <w:lvl w:ilvl="5" w:tentative="0">
      <w:start w:val="1"/>
      <w:numFmt w:val="decimal"/>
      <w:lvlText w:val="%1.%2.%3.%4.%5.%6  "/>
      <w:legacy w:legacy="1" w:legacySpace="170" w:legacyIndent="0"/>
      <w:lvlJc w:val="left"/>
    </w:lvl>
    <w:lvl w:ilvl="6" w:tentative="0">
      <w:start w:val="1"/>
      <w:numFmt w:val="lowerLetter"/>
      <w:lvlText w:val="%7."/>
      <w:legacy w:legacy="1" w:legacySpace="0" w:legacyIndent="397"/>
      <w:lvlJc w:val="left"/>
      <w:pPr>
        <w:ind w:left="794" w:hanging="397"/>
      </w:pPr>
    </w:lvl>
    <w:lvl w:ilvl="7" w:tentative="0">
      <w:start w:val="1"/>
      <w:numFmt w:val="upperLetter"/>
      <w:lvlText w:val="APPENDIX  %8 "/>
      <w:legacy w:legacy="1" w:legacySpace="170" w:legacyIndent="0"/>
      <w:lvlJc w:val="center"/>
      <w:pPr>
        <w:ind w:left="397"/>
      </w:pPr>
      <w:rPr>
        <w:rFonts w:hint="default" w:ascii="Univers" w:hAnsi="Univers" w:cs="Times New Roman"/>
        <w:b/>
        <w:i/>
        <w:color w:val="000000"/>
        <w:sz w:val="28"/>
        <w:szCs w:val="28"/>
      </w:rPr>
    </w:lvl>
    <w:lvl w:ilvl="8" w:tentative="0">
      <w:start w:val="1"/>
      <w:numFmt w:val="none"/>
      <w:lvlText w:val=""/>
      <w:legacy w:legacy="1" w:legacySpace="0" w:legacyIndent="397"/>
      <w:lvlJc w:val="left"/>
      <w:pPr>
        <w:ind w:left="794" w:hanging="397"/>
      </w:pPr>
      <w:rPr>
        <w:rFonts w:hint="default" w:ascii="Wingdings" w:hAnsi="Wingdings" w:cs="Times New Roman"/>
        <w:b/>
        <w:i w:val="0"/>
        <w:sz w:val="24"/>
        <w:szCs w:val="24"/>
      </w:rPr>
    </w:lvl>
  </w:abstractNum>
  <w:abstractNum w:abstractNumId="12">
    <w:nsid w:val="00000007"/>
    <w:multiLevelType w:val="multilevel"/>
    <w:tmpl w:val="00000007"/>
    <w:lvl w:ilvl="0" w:tentative="0">
      <w:start w:val="1"/>
      <w:numFmt w:val="decimal"/>
      <w:lvlText w:val="%1"/>
      <w:lvlJc w:val="left"/>
      <w:pPr>
        <w:tabs>
          <w:tab w:val="left" w:pos="0"/>
        </w:tabs>
        <w:ind w:left="0" w:firstLine="0"/>
      </w:pPr>
    </w:lvl>
    <w:lvl w:ilvl="1" w:tentative="0">
      <w:start w:val="1"/>
      <w:numFmt w:val="decimal"/>
      <w:pStyle w:val="3"/>
      <w:lvlText w:val="%1.%2"/>
      <w:lvlJc w:val="left"/>
      <w:pPr>
        <w:tabs>
          <w:tab w:val="left" w:pos="0"/>
        </w:tabs>
        <w:ind w:left="0" w:firstLine="0"/>
      </w:pPr>
    </w:lvl>
    <w:lvl w:ilvl="2" w:tentative="0">
      <w:start w:val="1"/>
      <w:numFmt w:val="decimal"/>
      <w:lvlText w:val="%1.%2.%3"/>
      <w:lvlJc w:val="left"/>
      <w:pPr>
        <w:tabs>
          <w:tab w:val="left" w:pos="0"/>
        </w:tabs>
        <w:ind w:left="0" w:firstLine="0"/>
      </w:pPr>
    </w:lvl>
    <w:lvl w:ilvl="3" w:tentative="0">
      <w:start w:val="1"/>
      <w:numFmt w:val="decimal"/>
      <w:lvlText w:val="%1.3.%3.2"/>
      <w:lvlJc w:val="left"/>
      <w:pPr>
        <w:tabs>
          <w:tab w:val="left" w:pos="720"/>
        </w:tabs>
        <w:ind w:left="0" w:firstLine="0"/>
      </w:pPr>
    </w:lvl>
    <w:lvl w:ilvl="4" w:tentative="0">
      <w:start w:val="1"/>
      <w:numFmt w:val="decimal"/>
      <w:lvlText w:val="(%5)"/>
      <w:lvlJc w:val="left"/>
      <w:pPr>
        <w:tabs>
          <w:tab w:val="left" w:pos="360"/>
        </w:tabs>
        <w:ind w:left="0" w:firstLine="0"/>
      </w:pPr>
      <w:rPr>
        <w:caps w:val="0"/>
        <w:strike w:val="0"/>
        <w:dstrike w:val="0"/>
        <w:vanish w:val="0"/>
        <w:u w:val="none"/>
        <w:vertAlign w:val="baseline"/>
      </w:rPr>
    </w:lvl>
    <w:lvl w:ilvl="5" w:tentative="0">
      <w:start w:val="1"/>
      <w:numFmt w:val="decimal"/>
      <w:lvlText w:val="%6)"/>
      <w:lvlJc w:val="left"/>
      <w:pPr>
        <w:tabs>
          <w:tab w:val="left" w:pos="0"/>
        </w:tabs>
        <w:ind w:left="0" w:firstLine="0"/>
      </w:pPr>
    </w:lvl>
    <w:lvl w:ilvl="6" w:tentative="0">
      <w:start w:val="1"/>
      <w:numFmt w:val="lowerLetter"/>
      <w:lvlText w:val="(%7)"/>
      <w:lvlJc w:val="left"/>
      <w:pPr>
        <w:tabs>
          <w:tab w:val="left" w:pos="0"/>
        </w:tabs>
        <w:ind w:left="0" w:firstLine="0"/>
      </w:pPr>
    </w:lvl>
    <w:lvl w:ilvl="7" w:tentative="0">
      <w:start w:val="1"/>
      <w:numFmt w:val="lowerLetter"/>
      <w:lvlText w:val="%8)"/>
      <w:lvlJc w:val="left"/>
      <w:pPr>
        <w:tabs>
          <w:tab w:val="left" w:pos="0"/>
        </w:tabs>
        <w:ind w:left="0" w:firstLine="0"/>
      </w:pPr>
    </w:lvl>
    <w:lvl w:ilvl="8" w:tentative="0">
      <w:start w:val="1"/>
      <w:numFmt w:val="decimal"/>
      <w:lvlText w:val="%8).%9"/>
      <w:lvlJc w:val="left"/>
      <w:pPr>
        <w:tabs>
          <w:tab w:val="left" w:pos="0"/>
        </w:tabs>
        <w:ind w:left="0" w:firstLine="0"/>
      </w:pPr>
    </w:lvl>
  </w:abstractNum>
  <w:abstractNum w:abstractNumId="13">
    <w:nsid w:val="079102AD"/>
    <w:multiLevelType w:val="multilevel"/>
    <w:tmpl w:val="079102AD"/>
    <w:lvl w:ilvl="0" w:tentative="0">
      <w:start w:val="1"/>
      <w:numFmt w:val="decimal"/>
      <w:pStyle w:val="46"/>
      <w:suff w:val="nothing"/>
      <w:lvlText w:val="注%1："/>
      <w:lvlJc w:val="left"/>
      <w:pPr>
        <w:ind w:left="3992" w:hanging="448"/>
      </w:pPr>
      <w:rPr>
        <w:rFonts w:hint="default" w:ascii="黑体" w:eastAsia="黑体"/>
        <w:b w:val="0"/>
        <w:i w:val="0"/>
        <w:sz w:val="18"/>
        <w:szCs w:val="18"/>
        <w:lang w:val="en-US"/>
      </w:rPr>
    </w:lvl>
    <w:lvl w:ilvl="1" w:tentative="0">
      <w:start w:val="1"/>
      <w:numFmt w:val="lowerLetter"/>
      <w:lvlText w:val="%2)"/>
      <w:lvlJc w:val="left"/>
      <w:pPr>
        <w:tabs>
          <w:tab w:val="left" w:pos="0"/>
        </w:tabs>
        <w:ind w:left="1412" w:hanging="629"/>
      </w:pPr>
      <w:rPr>
        <w:rFonts w:hint="eastAsia"/>
      </w:rPr>
    </w:lvl>
    <w:lvl w:ilvl="2" w:tentative="0">
      <w:start w:val="1"/>
      <w:numFmt w:val="lowerRoman"/>
      <w:lvlText w:val="%3."/>
      <w:lvlJc w:val="right"/>
      <w:pPr>
        <w:tabs>
          <w:tab w:val="left" w:pos="0"/>
        </w:tabs>
        <w:ind w:left="1412" w:hanging="629"/>
      </w:pPr>
      <w:rPr>
        <w:rFonts w:hint="eastAsia"/>
      </w:rPr>
    </w:lvl>
    <w:lvl w:ilvl="3" w:tentative="0">
      <w:start w:val="1"/>
      <w:numFmt w:val="decimal"/>
      <w:lvlText w:val="%4."/>
      <w:lvlJc w:val="left"/>
      <w:pPr>
        <w:tabs>
          <w:tab w:val="left" w:pos="0"/>
        </w:tabs>
        <w:ind w:left="1412" w:hanging="629"/>
      </w:pPr>
      <w:rPr>
        <w:rFonts w:hint="eastAsia"/>
      </w:rPr>
    </w:lvl>
    <w:lvl w:ilvl="4" w:tentative="0">
      <w:start w:val="1"/>
      <w:numFmt w:val="lowerLetter"/>
      <w:lvlText w:val="%5)"/>
      <w:lvlJc w:val="left"/>
      <w:pPr>
        <w:tabs>
          <w:tab w:val="left" w:pos="0"/>
        </w:tabs>
        <w:ind w:left="1412" w:hanging="629"/>
      </w:pPr>
      <w:rPr>
        <w:rFonts w:hint="eastAsia"/>
      </w:rPr>
    </w:lvl>
    <w:lvl w:ilvl="5" w:tentative="0">
      <w:start w:val="1"/>
      <w:numFmt w:val="lowerRoman"/>
      <w:lvlText w:val="%6."/>
      <w:lvlJc w:val="right"/>
      <w:pPr>
        <w:tabs>
          <w:tab w:val="left" w:pos="0"/>
        </w:tabs>
        <w:ind w:left="1412" w:hanging="629"/>
      </w:pPr>
      <w:rPr>
        <w:rFonts w:hint="eastAsia"/>
      </w:rPr>
    </w:lvl>
    <w:lvl w:ilvl="6" w:tentative="0">
      <w:start w:val="1"/>
      <w:numFmt w:val="decimal"/>
      <w:lvlText w:val="%7."/>
      <w:lvlJc w:val="left"/>
      <w:pPr>
        <w:tabs>
          <w:tab w:val="left" w:pos="0"/>
        </w:tabs>
        <w:ind w:left="1412" w:hanging="629"/>
      </w:pPr>
      <w:rPr>
        <w:rFonts w:hint="eastAsia"/>
      </w:rPr>
    </w:lvl>
    <w:lvl w:ilvl="7" w:tentative="0">
      <w:start w:val="1"/>
      <w:numFmt w:val="lowerLetter"/>
      <w:lvlText w:val="%8)"/>
      <w:lvlJc w:val="left"/>
      <w:pPr>
        <w:tabs>
          <w:tab w:val="left" w:pos="0"/>
        </w:tabs>
        <w:ind w:left="1412" w:hanging="629"/>
      </w:pPr>
      <w:rPr>
        <w:rFonts w:hint="eastAsia"/>
      </w:rPr>
    </w:lvl>
    <w:lvl w:ilvl="8" w:tentative="0">
      <w:start w:val="1"/>
      <w:numFmt w:val="lowerRoman"/>
      <w:lvlText w:val="%9."/>
      <w:lvlJc w:val="right"/>
      <w:pPr>
        <w:tabs>
          <w:tab w:val="left" w:pos="0"/>
        </w:tabs>
        <w:ind w:left="1412" w:hanging="629"/>
      </w:pPr>
      <w:rPr>
        <w:rFonts w:hint="eastAsia"/>
      </w:rPr>
    </w:lvl>
  </w:abstractNum>
  <w:abstractNum w:abstractNumId="14">
    <w:nsid w:val="57A17512"/>
    <w:multiLevelType w:val="multilevel"/>
    <w:tmpl w:val="57A17512"/>
    <w:lvl w:ilvl="0" w:tentative="0">
      <w:start w:val="1"/>
      <w:numFmt w:val="decimal"/>
      <w:pStyle w:val="33"/>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5">
    <w:nsid w:val="653028B4"/>
    <w:multiLevelType w:val="singleLevel"/>
    <w:tmpl w:val="653028B4"/>
    <w:lvl w:ilvl="0" w:tentative="0">
      <w:start w:val="1"/>
      <w:numFmt w:val="chineseCounting"/>
      <w:suff w:val="nothing"/>
      <w:lvlText w:val="（%1）"/>
      <w:lvlJc w:val="left"/>
      <w:pPr>
        <w:ind w:left="0" w:firstLine="420"/>
      </w:pPr>
      <w:rPr>
        <w:rFonts w:hint="eastAsia"/>
      </w:rPr>
    </w:lvl>
  </w:abstractNum>
  <w:abstractNum w:abstractNumId="16">
    <w:nsid w:val="775EE5C1"/>
    <w:multiLevelType w:val="singleLevel"/>
    <w:tmpl w:val="775EE5C1"/>
    <w:lvl w:ilvl="0" w:tentative="0">
      <w:start w:val="1"/>
      <w:numFmt w:val="decimal"/>
      <w:suff w:val="nothing"/>
      <w:lvlText w:val="%1．"/>
      <w:lvlJc w:val="left"/>
      <w:pPr>
        <w:ind w:left="0" w:firstLine="400"/>
      </w:pPr>
      <w:rPr>
        <w:rFonts w:hint="default" w:ascii="Times New Roman Regular" w:hAnsi="Times New Roman Regular" w:cs="Times New Roman Regular"/>
      </w:rPr>
    </w:lvl>
  </w:abstractNum>
  <w:num w:numId="1">
    <w:abstractNumId w:val="12"/>
  </w:num>
  <w:num w:numId="2">
    <w:abstractNumId w:val="11"/>
  </w:num>
  <w:num w:numId="3">
    <w:abstractNumId w:val="14"/>
  </w:num>
  <w:num w:numId="4">
    <w:abstractNumId w:val="13"/>
  </w:num>
  <w:num w:numId="5">
    <w:abstractNumId w:val="7"/>
  </w:num>
  <w:num w:numId="6">
    <w:abstractNumId w:val="5"/>
  </w:num>
  <w:num w:numId="7">
    <w:abstractNumId w:val="6"/>
  </w:num>
  <w:num w:numId="8">
    <w:abstractNumId w:val="16"/>
  </w:num>
  <w:num w:numId="9">
    <w:abstractNumId w:val="8"/>
  </w:num>
  <w:num w:numId="10">
    <w:abstractNumId w:val="10"/>
  </w:num>
  <w:num w:numId="11">
    <w:abstractNumId w:val="4"/>
  </w:num>
  <w:num w:numId="12">
    <w:abstractNumId w:val="2"/>
  </w:num>
  <w:num w:numId="13">
    <w:abstractNumId w:val="0"/>
  </w:num>
  <w:num w:numId="14">
    <w:abstractNumId w:val="3"/>
  </w:num>
  <w:num w:numId="15">
    <w:abstractNumId w:val="15"/>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embedSystemFonts/>
  <w:bordersDoNotSurroundHeader w:val="0"/>
  <w:bordersDoNotSurroundFooter w:val="0"/>
  <w:trackRevisions w:val="1"/>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3NGVkNmRmZGNlNmUyNzM3NjQwZmIwM2I1OTY5MDYifQ=="/>
  </w:docVars>
  <w:rsids>
    <w:rsidRoot w:val="1E573D4C"/>
    <w:rsid w:val="00024698"/>
    <w:rsid w:val="007A51B4"/>
    <w:rsid w:val="007F0A1D"/>
    <w:rsid w:val="008102F1"/>
    <w:rsid w:val="00A55A76"/>
    <w:rsid w:val="00C417A3"/>
    <w:rsid w:val="00C603FA"/>
    <w:rsid w:val="00D35090"/>
    <w:rsid w:val="00DC70A8"/>
    <w:rsid w:val="01057F1E"/>
    <w:rsid w:val="010A6538"/>
    <w:rsid w:val="011A2A76"/>
    <w:rsid w:val="012C30C9"/>
    <w:rsid w:val="01570814"/>
    <w:rsid w:val="01751F10"/>
    <w:rsid w:val="017D31AE"/>
    <w:rsid w:val="01AE34CB"/>
    <w:rsid w:val="01EA0118"/>
    <w:rsid w:val="01F60125"/>
    <w:rsid w:val="02151639"/>
    <w:rsid w:val="02221BDB"/>
    <w:rsid w:val="023C4E17"/>
    <w:rsid w:val="0240504A"/>
    <w:rsid w:val="02414829"/>
    <w:rsid w:val="0268276F"/>
    <w:rsid w:val="0273010D"/>
    <w:rsid w:val="0313160B"/>
    <w:rsid w:val="031C69F7"/>
    <w:rsid w:val="033349EE"/>
    <w:rsid w:val="034A5312"/>
    <w:rsid w:val="038549E9"/>
    <w:rsid w:val="038D51FF"/>
    <w:rsid w:val="03AA7192"/>
    <w:rsid w:val="03C75EB2"/>
    <w:rsid w:val="03EB4055"/>
    <w:rsid w:val="04455BB0"/>
    <w:rsid w:val="04662C85"/>
    <w:rsid w:val="048929AB"/>
    <w:rsid w:val="048A686A"/>
    <w:rsid w:val="049029EF"/>
    <w:rsid w:val="04A722F0"/>
    <w:rsid w:val="04AE367F"/>
    <w:rsid w:val="04C36291"/>
    <w:rsid w:val="04C64E6C"/>
    <w:rsid w:val="04F7112F"/>
    <w:rsid w:val="05031C1C"/>
    <w:rsid w:val="05047743"/>
    <w:rsid w:val="05126ADD"/>
    <w:rsid w:val="051C79FB"/>
    <w:rsid w:val="057A2458"/>
    <w:rsid w:val="05A607FA"/>
    <w:rsid w:val="061E4045"/>
    <w:rsid w:val="06E33324"/>
    <w:rsid w:val="06FF6413"/>
    <w:rsid w:val="07003B93"/>
    <w:rsid w:val="071E4497"/>
    <w:rsid w:val="072F5986"/>
    <w:rsid w:val="073277F2"/>
    <w:rsid w:val="074107DA"/>
    <w:rsid w:val="074F1149"/>
    <w:rsid w:val="075521B6"/>
    <w:rsid w:val="07DD5F1D"/>
    <w:rsid w:val="07E77620"/>
    <w:rsid w:val="08123F24"/>
    <w:rsid w:val="08B1656C"/>
    <w:rsid w:val="08FA1588"/>
    <w:rsid w:val="09050131"/>
    <w:rsid w:val="094E5847"/>
    <w:rsid w:val="096802A0"/>
    <w:rsid w:val="097F1A8E"/>
    <w:rsid w:val="099472E7"/>
    <w:rsid w:val="09975029"/>
    <w:rsid w:val="09AC4D17"/>
    <w:rsid w:val="09BE4364"/>
    <w:rsid w:val="09C3710A"/>
    <w:rsid w:val="09F00295"/>
    <w:rsid w:val="0A033C45"/>
    <w:rsid w:val="0A2F7010"/>
    <w:rsid w:val="0A342878"/>
    <w:rsid w:val="0A414CF9"/>
    <w:rsid w:val="0A481841"/>
    <w:rsid w:val="0A4D56E8"/>
    <w:rsid w:val="0A60366D"/>
    <w:rsid w:val="0A7315F2"/>
    <w:rsid w:val="0A7B4003"/>
    <w:rsid w:val="0A7D4EC4"/>
    <w:rsid w:val="0A83110A"/>
    <w:rsid w:val="0A857FE9"/>
    <w:rsid w:val="0A8D2745"/>
    <w:rsid w:val="0A9C5F85"/>
    <w:rsid w:val="0AC27E84"/>
    <w:rsid w:val="0B1306DF"/>
    <w:rsid w:val="0B1D3AD1"/>
    <w:rsid w:val="0B5908F1"/>
    <w:rsid w:val="0B6874E1"/>
    <w:rsid w:val="0B723658"/>
    <w:rsid w:val="0BBBBA8B"/>
    <w:rsid w:val="0BE249C9"/>
    <w:rsid w:val="0BE70503"/>
    <w:rsid w:val="0C3534E2"/>
    <w:rsid w:val="0C3E79DE"/>
    <w:rsid w:val="0C7B765B"/>
    <w:rsid w:val="0C8E44C1"/>
    <w:rsid w:val="0CAC7EC2"/>
    <w:rsid w:val="0CCD5877"/>
    <w:rsid w:val="0CF54BA1"/>
    <w:rsid w:val="0D223D2F"/>
    <w:rsid w:val="0D441024"/>
    <w:rsid w:val="0D5E1CB9"/>
    <w:rsid w:val="0D780CCE"/>
    <w:rsid w:val="0DBE26D2"/>
    <w:rsid w:val="0DDD6210"/>
    <w:rsid w:val="0E277278"/>
    <w:rsid w:val="0E2D7D0A"/>
    <w:rsid w:val="0E7C5427"/>
    <w:rsid w:val="0E7DB4FC"/>
    <w:rsid w:val="0EC07A7C"/>
    <w:rsid w:val="0ECA4CFE"/>
    <w:rsid w:val="0ECF3031"/>
    <w:rsid w:val="0EE71B02"/>
    <w:rsid w:val="0F24110D"/>
    <w:rsid w:val="0F31382A"/>
    <w:rsid w:val="0F7A0D2D"/>
    <w:rsid w:val="0FB7CAC4"/>
    <w:rsid w:val="0FDC7E43"/>
    <w:rsid w:val="0FE16B50"/>
    <w:rsid w:val="0FEB4BAC"/>
    <w:rsid w:val="100D1BA1"/>
    <w:rsid w:val="103E7FAD"/>
    <w:rsid w:val="103F5BA1"/>
    <w:rsid w:val="104A4BA3"/>
    <w:rsid w:val="108E7218"/>
    <w:rsid w:val="10B63D14"/>
    <w:rsid w:val="10B820FF"/>
    <w:rsid w:val="10C304B2"/>
    <w:rsid w:val="110E5BD1"/>
    <w:rsid w:val="1134315E"/>
    <w:rsid w:val="11EC57E6"/>
    <w:rsid w:val="11F0799B"/>
    <w:rsid w:val="11FF47B8"/>
    <w:rsid w:val="122B630F"/>
    <w:rsid w:val="123C43E8"/>
    <w:rsid w:val="125E00D9"/>
    <w:rsid w:val="12677C09"/>
    <w:rsid w:val="126F3FA5"/>
    <w:rsid w:val="127F665A"/>
    <w:rsid w:val="12887BC1"/>
    <w:rsid w:val="128C1399"/>
    <w:rsid w:val="12A44024"/>
    <w:rsid w:val="12BE53D5"/>
    <w:rsid w:val="131B45D5"/>
    <w:rsid w:val="133471D8"/>
    <w:rsid w:val="134D2F57"/>
    <w:rsid w:val="13681478"/>
    <w:rsid w:val="13717985"/>
    <w:rsid w:val="13A730B3"/>
    <w:rsid w:val="13D87533"/>
    <w:rsid w:val="141C6857"/>
    <w:rsid w:val="145853B5"/>
    <w:rsid w:val="145D796B"/>
    <w:rsid w:val="14840CB7"/>
    <w:rsid w:val="14885C4A"/>
    <w:rsid w:val="149245B2"/>
    <w:rsid w:val="14B52807"/>
    <w:rsid w:val="14CB1C36"/>
    <w:rsid w:val="14FF0009"/>
    <w:rsid w:val="15295AC0"/>
    <w:rsid w:val="15632BBE"/>
    <w:rsid w:val="15714E3E"/>
    <w:rsid w:val="1586215F"/>
    <w:rsid w:val="15B8610B"/>
    <w:rsid w:val="15E22389"/>
    <w:rsid w:val="15EE5FD1"/>
    <w:rsid w:val="15FFAF65"/>
    <w:rsid w:val="16203F57"/>
    <w:rsid w:val="16534086"/>
    <w:rsid w:val="167069E6"/>
    <w:rsid w:val="167F37F2"/>
    <w:rsid w:val="168B5B89"/>
    <w:rsid w:val="16A7EAFF"/>
    <w:rsid w:val="16F30626"/>
    <w:rsid w:val="16FF6847"/>
    <w:rsid w:val="1726591C"/>
    <w:rsid w:val="17276095"/>
    <w:rsid w:val="172D48D7"/>
    <w:rsid w:val="17683B61"/>
    <w:rsid w:val="17750E5D"/>
    <w:rsid w:val="178D1819"/>
    <w:rsid w:val="178D35C8"/>
    <w:rsid w:val="17FFDE95"/>
    <w:rsid w:val="18153CE9"/>
    <w:rsid w:val="18174183"/>
    <w:rsid w:val="182061EA"/>
    <w:rsid w:val="186A063A"/>
    <w:rsid w:val="188D4734"/>
    <w:rsid w:val="189E6E29"/>
    <w:rsid w:val="19540841"/>
    <w:rsid w:val="19582824"/>
    <w:rsid w:val="1966667F"/>
    <w:rsid w:val="19726F19"/>
    <w:rsid w:val="1998303C"/>
    <w:rsid w:val="19A60971"/>
    <w:rsid w:val="19AF388C"/>
    <w:rsid w:val="19BF413C"/>
    <w:rsid w:val="19EC2827"/>
    <w:rsid w:val="19F81081"/>
    <w:rsid w:val="1A2A15A2"/>
    <w:rsid w:val="1A3409BA"/>
    <w:rsid w:val="1A420699"/>
    <w:rsid w:val="1A460158"/>
    <w:rsid w:val="1A4F6F20"/>
    <w:rsid w:val="1A564145"/>
    <w:rsid w:val="1A921D7C"/>
    <w:rsid w:val="1AA82C77"/>
    <w:rsid w:val="1AAC1FB7"/>
    <w:rsid w:val="1AAE035C"/>
    <w:rsid w:val="1ACB068F"/>
    <w:rsid w:val="1ADE683C"/>
    <w:rsid w:val="1AEE97C9"/>
    <w:rsid w:val="1B630BBC"/>
    <w:rsid w:val="1B776A68"/>
    <w:rsid w:val="1B83048A"/>
    <w:rsid w:val="1B8B06FB"/>
    <w:rsid w:val="1B8F3DB2"/>
    <w:rsid w:val="1BDC4CEC"/>
    <w:rsid w:val="1BED6F2E"/>
    <w:rsid w:val="1C054E31"/>
    <w:rsid w:val="1C33473D"/>
    <w:rsid w:val="1C7B4336"/>
    <w:rsid w:val="1CAD0D0F"/>
    <w:rsid w:val="1CCC4B92"/>
    <w:rsid w:val="1CCE7662"/>
    <w:rsid w:val="1CDC0B3F"/>
    <w:rsid w:val="1CDF6673"/>
    <w:rsid w:val="1CF42CA9"/>
    <w:rsid w:val="1D0FF220"/>
    <w:rsid w:val="1D1F2F14"/>
    <w:rsid w:val="1D473EA8"/>
    <w:rsid w:val="1D5232E9"/>
    <w:rsid w:val="1D570900"/>
    <w:rsid w:val="1D9F570E"/>
    <w:rsid w:val="1DE52980"/>
    <w:rsid w:val="1DEF71B8"/>
    <w:rsid w:val="1E146D3B"/>
    <w:rsid w:val="1E2217D8"/>
    <w:rsid w:val="1E51534F"/>
    <w:rsid w:val="1E573D4C"/>
    <w:rsid w:val="1E666FDD"/>
    <w:rsid w:val="1E966DDD"/>
    <w:rsid w:val="1E9A18CE"/>
    <w:rsid w:val="1EBE86B6"/>
    <w:rsid w:val="1ECFD007"/>
    <w:rsid w:val="1EDF1228"/>
    <w:rsid w:val="1EE93F77"/>
    <w:rsid w:val="1F05006D"/>
    <w:rsid w:val="1F361357"/>
    <w:rsid w:val="1F416122"/>
    <w:rsid w:val="1F4C7776"/>
    <w:rsid w:val="1F4E796B"/>
    <w:rsid w:val="1F542020"/>
    <w:rsid w:val="1F6F065E"/>
    <w:rsid w:val="1F6FD0F7"/>
    <w:rsid w:val="1F882DFC"/>
    <w:rsid w:val="1F8D1F54"/>
    <w:rsid w:val="1FCB729D"/>
    <w:rsid w:val="1FD2426D"/>
    <w:rsid w:val="1FF7EB1A"/>
    <w:rsid w:val="1FFF500F"/>
    <w:rsid w:val="1FFFFB11"/>
    <w:rsid w:val="20062169"/>
    <w:rsid w:val="20476A09"/>
    <w:rsid w:val="20C242E2"/>
    <w:rsid w:val="20F52909"/>
    <w:rsid w:val="21075857"/>
    <w:rsid w:val="21091F11"/>
    <w:rsid w:val="21274A8D"/>
    <w:rsid w:val="213435D0"/>
    <w:rsid w:val="21386C61"/>
    <w:rsid w:val="21494A03"/>
    <w:rsid w:val="21515666"/>
    <w:rsid w:val="216043C0"/>
    <w:rsid w:val="216E446A"/>
    <w:rsid w:val="21736F42"/>
    <w:rsid w:val="21976AF2"/>
    <w:rsid w:val="21B420FA"/>
    <w:rsid w:val="21E67D41"/>
    <w:rsid w:val="21FA3791"/>
    <w:rsid w:val="22167F23"/>
    <w:rsid w:val="223C00C4"/>
    <w:rsid w:val="225114BD"/>
    <w:rsid w:val="22804455"/>
    <w:rsid w:val="229C358D"/>
    <w:rsid w:val="22C02AA3"/>
    <w:rsid w:val="22CD6D83"/>
    <w:rsid w:val="22EC5646"/>
    <w:rsid w:val="22FF24E0"/>
    <w:rsid w:val="230961F8"/>
    <w:rsid w:val="2349134C"/>
    <w:rsid w:val="235105CE"/>
    <w:rsid w:val="23735D67"/>
    <w:rsid w:val="23812740"/>
    <w:rsid w:val="238B4E5F"/>
    <w:rsid w:val="23A979DB"/>
    <w:rsid w:val="23E00E9D"/>
    <w:rsid w:val="23F77CA2"/>
    <w:rsid w:val="23FFB53A"/>
    <w:rsid w:val="24191BAC"/>
    <w:rsid w:val="241D051C"/>
    <w:rsid w:val="244860D4"/>
    <w:rsid w:val="24B53FFA"/>
    <w:rsid w:val="24E04C70"/>
    <w:rsid w:val="24E134A2"/>
    <w:rsid w:val="24E8008F"/>
    <w:rsid w:val="24E82E11"/>
    <w:rsid w:val="24F63A5D"/>
    <w:rsid w:val="250753E5"/>
    <w:rsid w:val="251D678D"/>
    <w:rsid w:val="25361FF1"/>
    <w:rsid w:val="2536529E"/>
    <w:rsid w:val="25657148"/>
    <w:rsid w:val="259759BA"/>
    <w:rsid w:val="25A1063C"/>
    <w:rsid w:val="25DB4DDF"/>
    <w:rsid w:val="25FA62CC"/>
    <w:rsid w:val="26103D41"/>
    <w:rsid w:val="26170C2C"/>
    <w:rsid w:val="2637BA7C"/>
    <w:rsid w:val="266F2B9B"/>
    <w:rsid w:val="26A2681B"/>
    <w:rsid w:val="26C568DA"/>
    <w:rsid w:val="26DB038C"/>
    <w:rsid w:val="26DB493C"/>
    <w:rsid w:val="26DB7EAB"/>
    <w:rsid w:val="26DC2D2F"/>
    <w:rsid w:val="27161CB8"/>
    <w:rsid w:val="2730304F"/>
    <w:rsid w:val="279863D2"/>
    <w:rsid w:val="27C82E5D"/>
    <w:rsid w:val="27D00C09"/>
    <w:rsid w:val="27EF6F7C"/>
    <w:rsid w:val="28011B94"/>
    <w:rsid w:val="289034E8"/>
    <w:rsid w:val="28A10C81"/>
    <w:rsid w:val="28E219C5"/>
    <w:rsid w:val="28F85103"/>
    <w:rsid w:val="29092F0D"/>
    <w:rsid w:val="292875F4"/>
    <w:rsid w:val="295D104C"/>
    <w:rsid w:val="2967305A"/>
    <w:rsid w:val="2970538A"/>
    <w:rsid w:val="2A2102CB"/>
    <w:rsid w:val="2A2B40D9"/>
    <w:rsid w:val="2A4468E8"/>
    <w:rsid w:val="2A4B7560"/>
    <w:rsid w:val="2A5306A1"/>
    <w:rsid w:val="2A581813"/>
    <w:rsid w:val="2A636193"/>
    <w:rsid w:val="2A64465C"/>
    <w:rsid w:val="2A7A3BD7"/>
    <w:rsid w:val="2AE93841"/>
    <w:rsid w:val="2AEE3648"/>
    <w:rsid w:val="2B033371"/>
    <w:rsid w:val="2B0F45C8"/>
    <w:rsid w:val="2B151462"/>
    <w:rsid w:val="2B703976"/>
    <w:rsid w:val="2B732DA8"/>
    <w:rsid w:val="2B779685"/>
    <w:rsid w:val="2BA61037"/>
    <w:rsid w:val="2BBB2C9D"/>
    <w:rsid w:val="2BD66AC4"/>
    <w:rsid w:val="2BFB29B5"/>
    <w:rsid w:val="2C072F7D"/>
    <w:rsid w:val="2C0803CD"/>
    <w:rsid w:val="2C76BB6A"/>
    <w:rsid w:val="2D60068C"/>
    <w:rsid w:val="2D630BFB"/>
    <w:rsid w:val="2D7479D0"/>
    <w:rsid w:val="2D99461C"/>
    <w:rsid w:val="2DA99F38"/>
    <w:rsid w:val="2DAF7734"/>
    <w:rsid w:val="2DB42C49"/>
    <w:rsid w:val="2DB7C539"/>
    <w:rsid w:val="2DDD4E88"/>
    <w:rsid w:val="2DE007D6"/>
    <w:rsid w:val="2E1B46D1"/>
    <w:rsid w:val="2E1C30BA"/>
    <w:rsid w:val="2E3879E1"/>
    <w:rsid w:val="2E48665F"/>
    <w:rsid w:val="2E5829A2"/>
    <w:rsid w:val="2E67296D"/>
    <w:rsid w:val="2EA367EC"/>
    <w:rsid w:val="2EA440F9"/>
    <w:rsid w:val="2EEA2F15"/>
    <w:rsid w:val="2F057EA8"/>
    <w:rsid w:val="2F2370C0"/>
    <w:rsid w:val="2F3E36CD"/>
    <w:rsid w:val="2F4737A5"/>
    <w:rsid w:val="2F485833"/>
    <w:rsid w:val="2F5C7FF7"/>
    <w:rsid w:val="2F6E0DA7"/>
    <w:rsid w:val="2FAC6889"/>
    <w:rsid w:val="2FBDE690"/>
    <w:rsid w:val="2FD35415"/>
    <w:rsid w:val="2FF7DD3E"/>
    <w:rsid w:val="2FF80E15"/>
    <w:rsid w:val="2FFD7F30"/>
    <w:rsid w:val="2FFF1BA9"/>
    <w:rsid w:val="2FFFD7DA"/>
    <w:rsid w:val="30006BD5"/>
    <w:rsid w:val="30506C8F"/>
    <w:rsid w:val="30970232"/>
    <w:rsid w:val="30E03A94"/>
    <w:rsid w:val="313A3321"/>
    <w:rsid w:val="314B20D2"/>
    <w:rsid w:val="31643065"/>
    <w:rsid w:val="31E218FC"/>
    <w:rsid w:val="322008DB"/>
    <w:rsid w:val="323C7DCD"/>
    <w:rsid w:val="326C67A3"/>
    <w:rsid w:val="32AD5347"/>
    <w:rsid w:val="32B827EB"/>
    <w:rsid w:val="32CE4D68"/>
    <w:rsid w:val="32D86506"/>
    <w:rsid w:val="32DA195F"/>
    <w:rsid w:val="32F10A57"/>
    <w:rsid w:val="32FC43B4"/>
    <w:rsid w:val="33044C2E"/>
    <w:rsid w:val="33595B98"/>
    <w:rsid w:val="33684523"/>
    <w:rsid w:val="33745910"/>
    <w:rsid w:val="337B23CF"/>
    <w:rsid w:val="337BD9E0"/>
    <w:rsid w:val="339C6C14"/>
    <w:rsid w:val="33A04957"/>
    <w:rsid w:val="33EB36F8"/>
    <w:rsid w:val="33F97AFF"/>
    <w:rsid w:val="340F2C26"/>
    <w:rsid w:val="345BCED1"/>
    <w:rsid w:val="346C65E7"/>
    <w:rsid w:val="347D07F4"/>
    <w:rsid w:val="350917E2"/>
    <w:rsid w:val="35823C32"/>
    <w:rsid w:val="358B3002"/>
    <w:rsid w:val="358F3395"/>
    <w:rsid w:val="35AE50D1"/>
    <w:rsid w:val="35BD6E2C"/>
    <w:rsid w:val="35D67453"/>
    <w:rsid w:val="35F86203"/>
    <w:rsid w:val="35FF9FE7"/>
    <w:rsid w:val="360B6C4E"/>
    <w:rsid w:val="361909F0"/>
    <w:rsid w:val="3635D2DB"/>
    <w:rsid w:val="36541A28"/>
    <w:rsid w:val="36624145"/>
    <w:rsid w:val="366E09C9"/>
    <w:rsid w:val="369A2841"/>
    <w:rsid w:val="369F3CD4"/>
    <w:rsid w:val="36BD75CE"/>
    <w:rsid w:val="371050B8"/>
    <w:rsid w:val="37432BA4"/>
    <w:rsid w:val="374A0972"/>
    <w:rsid w:val="376712E7"/>
    <w:rsid w:val="376FB6CC"/>
    <w:rsid w:val="37751BBC"/>
    <w:rsid w:val="377685B1"/>
    <w:rsid w:val="379A16BD"/>
    <w:rsid w:val="37A71F3E"/>
    <w:rsid w:val="37BB2163"/>
    <w:rsid w:val="37CF47B6"/>
    <w:rsid w:val="37D5281F"/>
    <w:rsid w:val="37D56575"/>
    <w:rsid w:val="37DB5EC6"/>
    <w:rsid w:val="37DC7A31"/>
    <w:rsid w:val="37DF20C4"/>
    <w:rsid w:val="37E251BE"/>
    <w:rsid w:val="37E66B23"/>
    <w:rsid w:val="37E7CBC1"/>
    <w:rsid w:val="37E82428"/>
    <w:rsid w:val="37E868CC"/>
    <w:rsid w:val="37F791B1"/>
    <w:rsid w:val="37FFFE50"/>
    <w:rsid w:val="38201673"/>
    <w:rsid w:val="38237567"/>
    <w:rsid w:val="382471D8"/>
    <w:rsid w:val="3837038B"/>
    <w:rsid w:val="38372F5C"/>
    <w:rsid w:val="385C6972"/>
    <w:rsid w:val="389A55DB"/>
    <w:rsid w:val="38C22C79"/>
    <w:rsid w:val="38DFC7EF"/>
    <w:rsid w:val="393613E5"/>
    <w:rsid w:val="39424B74"/>
    <w:rsid w:val="395F496C"/>
    <w:rsid w:val="396E1053"/>
    <w:rsid w:val="397A08A5"/>
    <w:rsid w:val="39AD9AB2"/>
    <w:rsid w:val="39B82AB1"/>
    <w:rsid w:val="39BB91F0"/>
    <w:rsid w:val="39C69CB1"/>
    <w:rsid w:val="39CF674E"/>
    <w:rsid w:val="3A0F57EA"/>
    <w:rsid w:val="3A330458"/>
    <w:rsid w:val="3A6A0CCC"/>
    <w:rsid w:val="3A724344"/>
    <w:rsid w:val="3A83468A"/>
    <w:rsid w:val="3AAB0B9B"/>
    <w:rsid w:val="3AC3717D"/>
    <w:rsid w:val="3AD969A0"/>
    <w:rsid w:val="3AFD5CFA"/>
    <w:rsid w:val="3B273398"/>
    <w:rsid w:val="3B4915F5"/>
    <w:rsid w:val="3B570F2C"/>
    <w:rsid w:val="3B633EE6"/>
    <w:rsid w:val="3B678EC1"/>
    <w:rsid w:val="3B7FC6C6"/>
    <w:rsid w:val="3BB555C6"/>
    <w:rsid w:val="3BBFFBB1"/>
    <w:rsid w:val="3BDE9154"/>
    <w:rsid w:val="3BE92B71"/>
    <w:rsid w:val="3BEF9F7A"/>
    <w:rsid w:val="3BFDC1BC"/>
    <w:rsid w:val="3BFE4996"/>
    <w:rsid w:val="3BFF40E0"/>
    <w:rsid w:val="3C0E1025"/>
    <w:rsid w:val="3C1A2DCC"/>
    <w:rsid w:val="3C312091"/>
    <w:rsid w:val="3C3711A0"/>
    <w:rsid w:val="3C373913"/>
    <w:rsid w:val="3C55BB14"/>
    <w:rsid w:val="3C69674F"/>
    <w:rsid w:val="3C6E0CE2"/>
    <w:rsid w:val="3C9F030F"/>
    <w:rsid w:val="3CBE05CE"/>
    <w:rsid w:val="3CCB246B"/>
    <w:rsid w:val="3D0B5678"/>
    <w:rsid w:val="3D23425F"/>
    <w:rsid w:val="3D4C7F20"/>
    <w:rsid w:val="3D510A70"/>
    <w:rsid w:val="3D531BD8"/>
    <w:rsid w:val="3D567A39"/>
    <w:rsid w:val="3D712168"/>
    <w:rsid w:val="3D7C5FE7"/>
    <w:rsid w:val="3D7CA603"/>
    <w:rsid w:val="3DCC6B68"/>
    <w:rsid w:val="3DD75419"/>
    <w:rsid w:val="3DF5BAD6"/>
    <w:rsid w:val="3DFFBC38"/>
    <w:rsid w:val="3E1B0F93"/>
    <w:rsid w:val="3E5D1061"/>
    <w:rsid w:val="3E603F0A"/>
    <w:rsid w:val="3E6350CC"/>
    <w:rsid w:val="3E9D4E72"/>
    <w:rsid w:val="3E9E6A1F"/>
    <w:rsid w:val="3EA44A09"/>
    <w:rsid w:val="3EB38693"/>
    <w:rsid w:val="3ECC7609"/>
    <w:rsid w:val="3EF93162"/>
    <w:rsid w:val="3EFBDE91"/>
    <w:rsid w:val="3F0861ED"/>
    <w:rsid w:val="3F1B9416"/>
    <w:rsid w:val="3F1DB58D"/>
    <w:rsid w:val="3F222FE0"/>
    <w:rsid w:val="3F29D09D"/>
    <w:rsid w:val="3F3BCFA0"/>
    <w:rsid w:val="3F465E11"/>
    <w:rsid w:val="3F46EDC8"/>
    <w:rsid w:val="3F49778D"/>
    <w:rsid w:val="3F659F57"/>
    <w:rsid w:val="3F7A8AD6"/>
    <w:rsid w:val="3F7C3854"/>
    <w:rsid w:val="3F7DC8EC"/>
    <w:rsid w:val="3F7E4320"/>
    <w:rsid w:val="3F7EA949"/>
    <w:rsid w:val="3F939827"/>
    <w:rsid w:val="3FBEBA51"/>
    <w:rsid w:val="3FC810AC"/>
    <w:rsid w:val="3FDEC9F5"/>
    <w:rsid w:val="3FDF4418"/>
    <w:rsid w:val="3FDFA922"/>
    <w:rsid w:val="3FEBA76A"/>
    <w:rsid w:val="3FEC482B"/>
    <w:rsid w:val="3FEF4261"/>
    <w:rsid w:val="3FF8E492"/>
    <w:rsid w:val="3FFB8801"/>
    <w:rsid w:val="3FFF0893"/>
    <w:rsid w:val="3FFF3E0E"/>
    <w:rsid w:val="40044CA3"/>
    <w:rsid w:val="40072194"/>
    <w:rsid w:val="402F009C"/>
    <w:rsid w:val="40624EF6"/>
    <w:rsid w:val="40671125"/>
    <w:rsid w:val="40742CC1"/>
    <w:rsid w:val="407E7DCE"/>
    <w:rsid w:val="40900279"/>
    <w:rsid w:val="409E1999"/>
    <w:rsid w:val="40A22EBF"/>
    <w:rsid w:val="40BE466E"/>
    <w:rsid w:val="40C41559"/>
    <w:rsid w:val="40C8729B"/>
    <w:rsid w:val="40CB1D5D"/>
    <w:rsid w:val="40FF4D48"/>
    <w:rsid w:val="411B561D"/>
    <w:rsid w:val="41250249"/>
    <w:rsid w:val="412D10FA"/>
    <w:rsid w:val="413C5593"/>
    <w:rsid w:val="419E09E1"/>
    <w:rsid w:val="41C072C4"/>
    <w:rsid w:val="420460B1"/>
    <w:rsid w:val="422C5607"/>
    <w:rsid w:val="422E1FA9"/>
    <w:rsid w:val="42593699"/>
    <w:rsid w:val="42882D2E"/>
    <w:rsid w:val="428B2A4F"/>
    <w:rsid w:val="429C0C25"/>
    <w:rsid w:val="42A20F87"/>
    <w:rsid w:val="42A338A7"/>
    <w:rsid w:val="43210CDB"/>
    <w:rsid w:val="435D2AB3"/>
    <w:rsid w:val="439671DC"/>
    <w:rsid w:val="43A43E0B"/>
    <w:rsid w:val="43E819D5"/>
    <w:rsid w:val="43EC0986"/>
    <w:rsid w:val="43F32881"/>
    <w:rsid w:val="44452751"/>
    <w:rsid w:val="448160DE"/>
    <w:rsid w:val="44857BE4"/>
    <w:rsid w:val="44CC44F5"/>
    <w:rsid w:val="44CD1324"/>
    <w:rsid w:val="44D04970"/>
    <w:rsid w:val="44DD0E3B"/>
    <w:rsid w:val="44DF1057"/>
    <w:rsid w:val="44E54453"/>
    <w:rsid w:val="450E5498"/>
    <w:rsid w:val="45221EC2"/>
    <w:rsid w:val="45412D37"/>
    <w:rsid w:val="45602A50"/>
    <w:rsid w:val="458C52A1"/>
    <w:rsid w:val="459736E0"/>
    <w:rsid w:val="45A12A1F"/>
    <w:rsid w:val="45C90F49"/>
    <w:rsid w:val="45E36925"/>
    <w:rsid w:val="45E37B58"/>
    <w:rsid w:val="45EA1A61"/>
    <w:rsid w:val="45FA2B93"/>
    <w:rsid w:val="45FC4415"/>
    <w:rsid w:val="45FEF727"/>
    <w:rsid w:val="46181376"/>
    <w:rsid w:val="46193DD2"/>
    <w:rsid w:val="46364CA7"/>
    <w:rsid w:val="464C19A5"/>
    <w:rsid w:val="465D0DA4"/>
    <w:rsid w:val="469E22EF"/>
    <w:rsid w:val="46A572C7"/>
    <w:rsid w:val="46BE763A"/>
    <w:rsid w:val="46CD7EB5"/>
    <w:rsid w:val="46E464B1"/>
    <w:rsid w:val="46EE59A3"/>
    <w:rsid w:val="46FA6014"/>
    <w:rsid w:val="47022DDB"/>
    <w:rsid w:val="470F0543"/>
    <w:rsid w:val="473CE391"/>
    <w:rsid w:val="476B6BD2"/>
    <w:rsid w:val="477B3701"/>
    <w:rsid w:val="47894117"/>
    <w:rsid w:val="478B1022"/>
    <w:rsid w:val="47906638"/>
    <w:rsid w:val="47961EA1"/>
    <w:rsid w:val="47AD0F98"/>
    <w:rsid w:val="47AD71EA"/>
    <w:rsid w:val="47BB89FD"/>
    <w:rsid w:val="47D613CB"/>
    <w:rsid w:val="47DE11EE"/>
    <w:rsid w:val="47E70571"/>
    <w:rsid w:val="482A4C90"/>
    <w:rsid w:val="48487415"/>
    <w:rsid w:val="484D62D8"/>
    <w:rsid w:val="485673C8"/>
    <w:rsid w:val="48D3302F"/>
    <w:rsid w:val="48E82765"/>
    <w:rsid w:val="48FF75D2"/>
    <w:rsid w:val="492B1902"/>
    <w:rsid w:val="49437FED"/>
    <w:rsid w:val="4970227E"/>
    <w:rsid w:val="49AE2DA6"/>
    <w:rsid w:val="49B7E4B5"/>
    <w:rsid w:val="4A1B48DF"/>
    <w:rsid w:val="4A2A68D0"/>
    <w:rsid w:val="4A5D0A54"/>
    <w:rsid w:val="4A7C09A8"/>
    <w:rsid w:val="4A7FD875"/>
    <w:rsid w:val="4A8F2BD7"/>
    <w:rsid w:val="4ABD5996"/>
    <w:rsid w:val="4AC52021"/>
    <w:rsid w:val="4AF64A60"/>
    <w:rsid w:val="4B4A341A"/>
    <w:rsid w:val="4B677B2F"/>
    <w:rsid w:val="4B90799F"/>
    <w:rsid w:val="4BAB14CA"/>
    <w:rsid w:val="4BEA14D5"/>
    <w:rsid w:val="4BFE24B2"/>
    <w:rsid w:val="4C0D2006"/>
    <w:rsid w:val="4C286E40"/>
    <w:rsid w:val="4C455C43"/>
    <w:rsid w:val="4C55054E"/>
    <w:rsid w:val="4C6F0F12"/>
    <w:rsid w:val="4C934C01"/>
    <w:rsid w:val="4C96639C"/>
    <w:rsid w:val="4C9B3B4E"/>
    <w:rsid w:val="4CBC3B05"/>
    <w:rsid w:val="4CDA1B69"/>
    <w:rsid w:val="4D39745F"/>
    <w:rsid w:val="4D772DCB"/>
    <w:rsid w:val="4D970721"/>
    <w:rsid w:val="4D9979D8"/>
    <w:rsid w:val="4DAFF802"/>
    <w:rsid w:val="4DDC6BC5"/>
    <w:rsid w:val="4DFD4F0A"/>
    <w:rsid w:val="4E1402DE"/>
    <w:rsid w:val="4E4C73A3"/>
    <w:rsid w:val="4E641F1A"/>
    <w:rsid w:val="4E6F3F3D"/>
    <w:rsid w:val="4ECF1271"/>
    <w:rsid w:val="4ED25E5C"/>
    <w:rsid w:val="4EDA5AAA"/>
    <w:rsid w:val="4EF86CC0"/>
    <w:rsid w:val="4EF94AC3"/>
    <w:rsid w:val="4F1639D2"/>
    <w:rsid w:val="4F3C4B90"/>
    <w:rsid w:val="4F75EEB2"/>
    <w:rsid w:val="4F936CC6"/>
    <w:rsid w:val="4F9735BA"/>
    <w:rsid w:val="4F9A62A6"/>
    <w:rsid w:val="4F9F1B0F"/>
    <w:rsid w:val="4FB749F0"/>
    <w:rsid w:val="4FB8497E"/>
    <w:rsid w:val="4FBFC979"/>
    <w:rsid w:val="4FC71561"/>
    <w:rsid w:val="4FD73056"/>
    <w:rsid w:val="4FDC17DF"/>
    <w:rsid w:val="4FE44618"/>
    <w:rsid w:val="4FED4798"/>
    <w:rsid w:val="4FF30539"/>
    <w:rsid w:val="4FF57773"/>
    <w:rsid w:val="4FF9A782"/>
    <w:rsid w:val="4FFB7226"/>
    <w:rsid w:val="4FFD3F23"/>
    <w:rsid w:val="501F49FD"/>
    <w:rsid w:val="502A5888"/>
    <w:rsid w:val="503E4E84"/>
    <w:rsid w:val="504B393E"/>
    <w:rsid w:val="505550D7"/>
    <w:rsid w:val="5074270E"/>
    <w:rsid w:val="50744D49"/>
    <w:rsid w:val="507B21F4"/>
    <w:rsid w:val="50835A1F"/>
    <w:rsid w:val="50A7016E"/>
    <w:rsid w:val="50AC6291"/>
    <w:rsid w:val="50EF43D0"/>
    <w:rsid w:val="50FC089B"/>
    <w:rsid w:val="512621FC"/>
    <w:rsid w:val="51713BAA"/>
    <w:rsid w:val="517D56D5"/>
    <w:rsid w:val="51812DB4"/>
    <w:rsid w:val="5184518E"/>
    <w:rsid w:val="51D23526"/>
    <w:rsid w:val="51E66682"/>
    <w:rsid w:val="5229185E"/>
    <w:rsid w:val="52432C25"/>
    <w:rsid w:val="5268443A"/>
    <w:rsid w:val="52AD5B3E"/>
    <w:rsid w:val="52C222A5"/>
    <w:rsid w:val="52DF320A"/>
    <w:rsid w:val="52F10B4A"/>
    <w:rsid w:val="52F5521E"/>
    <w:rsid w:val="52FDB3B4"/>
    <w:rsid w:val="530028C4"/>
    <w:rsid w:val="531142D2"/>
    <w:rsid w:val="531913A2"/>
    <w:rsid w:val="531F0FF7"/>
    <w:rsid w:val="53236894"/>
    <w:rsid w:val="53B378F1"/>
    <w:rsid w:val="53BABE2C"/>
    <w:rsid w:val="53FB3CD3"/>
    <w:rsid w:val="541A1764"/>
    <w:rsid w:val="547643A4"/>
    <w:rsid w:val="547EEA6A"/>
    <w:rsid w:val="54882B71"/>
    <w:rsid w:val="549F610D"/>
    <w:rsid w:val="54C85664"/>
    <w:rsid w:val="54DF6509"/>
    <w:rsid w:val="54EF976B"/>
    <w:rsid w:val="550D55D1"/>
    <w:rsid w:val="55213B45"/>
    <w:rsid w:val="552F0DC7"/>
    <w:rsid w:val="553158A2"/>
    <w:rsid w:val="553D4774"/>
    <w:rsid w:val="554D777B"/>
    <w:rsid w:val="557C720E"/>
    <w:rsid w:val="559F18EC"/>
    <w:rsid w:val="55A95CB8"/>
    <w:rsid w:val="55BF0129"/>
    <w:rsid w:val="55FE03D8"/>
    <w:rsid w:val="55FF402D"/>
    <w:rsid w:val="55FF651E"/>
    <w:rsid w:val="561019BC"/>
    <w:rsid w:val="565F5B54"/>
    <w:rsid w:val="56773230"/>
    <w:rsid w:val="567C24C2"/>
    <w:rsid w:val="567FE056"/>
    <w:rsid w:val="56853574"/>
    <w:rsid w:val="568850AA"/>
    <w:rsid w:val="56976E1D"/>
    <w:rsid w:val="569D25CB"/>
    <w:rsid w:val="56A33C92"/>
    <w:rsid w:val="56C87B9D"/>
    <w:rsid w:val="56E36785"/>
    <w:rsid w:val="574A05B2"/>
    <w:rsid w:val="576C677A"/>
    <w:rsid w:val="57ABE97A"/>
    <w:rsid w:val="57B3FD01"/>
    <w:rsid w:val="57EF2F07"/>
    <w:rsid w:val="57EF4CB5"/>
    <w:rsid w:val="57FFF798"/>
    <w:rsid w:val="58047A99"/>
    <w:rsid w:val="58472D43"/>
    <w:rsid w:val="58AAFE99"/>
    <w:rsid w:val="58C16652"/>
    <w:rsid w:val="58D95C71"/>
    <w:rsid w:val="59036C6A"/>
    <w:rsid w:val="59306CDC"/>
    <w:rsid w:val="594827D5"/>
    <w:rsid w:val="59505ACE"/>
    <w:rsid w:val="595079D6"/>
    <w:rsid w:val="595735A2"/>
    <w:rsid w:val="59655912"/>
    <w:rsid w:val="59AF6DF2"/>
    <w:rsid w:val="59AFC974"/>
    <w:rsid w:val="59CD62FE"/>
    <w:rsid w:val="59D465F5"/>
    <w:rsid w:val="59D800F7"/>
    <w:rsid w:val="59E21114"/>
    <w:rsid w:val="59ED2925"/>
    <w:rsid w:val="59F741B6"/>
    <w:rsid w:val="5A221372"/>
    <w:rsid w:val="5A803764"/>
    <w:rsid w:val="5A81003E"/>
    <w:rsid w:val="5ABF4872"/>
    <w:rsid w:val="5AD7882D"/>
    <w:rsid w:val="5AE27845"/>
    <w:rsid w:val="5AEF139E"/>
    <w:rsid w:val="5AF744DA"/>
    <w:rsid w:val="5AF8B1E8"/>
    <w:rsid w:val="5AF947C9"/>
    <w:rsid w:val="5AFD3FFA"/>
    <w:rsid w:val="5B33135D"/>
    <w:rsid w:val="5B5B0B94"/>
    <w:rsid w:val="5B7EE6A5"/>
    <w:rsid w:val="5B9BFEAE"/>
    <w:rsid w:val="5BA83A36"/>
    <w:rsid w:val="5BBB2F02"/>
    <w:rsid w:val="5BDCAF1C"/>
    <w:rsid w:val="5BDE39BF"/>
    <w:rsid w:val="5BDF643E"/>
    <w:rsid w:val="5BE90261"/>
    <w:rsid w:val="5BED529B"/>
    <w:rsid w:val="5C17573F"/>
    <w:rsid w:val="5C4035E0"/>
    <w:rsid w:val="5C683A4F"/>
    <w:rsid w:val="5C73BDFD"/>
    <w:rsid w:val="5C7C42E4"/>
    <w:rsid w:val="5C9F08E2"/>
    <w:rsid w:val="5CB44EB9"/>
    <w:rsid w:val="5CCA3EEF"/>
    <w:rsid w:val="5CDF3012"/>
    <w:rsid w:val="5CF977E4"/>
    <w:rsid w:val="5D5B70A6"/>
    <w:rsid w:val="5D67B3B1"/>
    <w:rsid w:val="5D7D8586"/>
    <w:rsid w:val="5D7E1A01"/>
    <w:rsid w:val="5D947B2E"/>
    <w:rsid w:val="5D996534"/>
    <w:rsid w:val="5DA52CD8"/>
    <w:rsid w:val="5DB744C7"/>
    <w:rsid w:val="5DEF1E11"/>
    <w:rsid w:val="5E9F0293"/>
    <w:rsid w:val="5EA52572"/>
    <w:rsid w:val="5EB78BDC"/>
    <w:rsid w:val="5EB82887"/>
    <w:rsid w:val="5EBDBD16"/>
    <w:rsid w:val="5EDF525F"/>
    <w:rsid w:val="5EFF7ED4"/>
    <w:rsid w:val="5F1C0EB4"/>
    <w:rsid w:val="5F2128FB"/>
    <w:rsid w:val="5F5521EA"/>
    <w:rsid w:val="5F587C40"/>
    <w:rsid w:val="5F5EF1B2"/>
    <w:rsid w:val="5F6FB310"/>
    <w:rsid w:val="5F7BB19F"/>
    <w:rsid w:val="5F7EE8AF"/>
    <w:rsid w:val="5F8022D9"/>
    <w:rsid w:val="5F8637E8"/>
    <w:rsid w:val="5F922AF6"/>
    <w:rsid w:val="5F9A327F"/>
    <w:rsid w:val="5FAF9B0C"/>
    <w:rsid w:val="5FBE66BA"/>
    <w:rsid w:val="5FBF5989"/>
    <w:rsid w:val="5FCDDD3D"/>
    <w:rsid w:val="5FCE9EEA"/>
    <w:rsid w:val="5FDE7C52"/>
    <w:rsid w:val="5FDFFEBC"/>
    <w:rsid w:val="5FEB31D0"/>
    <w:rsid w:val="5FF781ED"/>
    <w:rsid w:val="5FF7ED41"/>
    <w:rsid w:val="5FFD719E"/>
    <w:rsid w:val="5FFE018B"/>
    <w:rsid w:val="5FFEB3A2"/>
    <w:rsid w:val="5FFF4132"/>
    <w:rsid w:val="5FFFC719"/>
    <w:rsid w:val="5FFFF829"/>
    <w:rsid w:val="5FFFFA3B"/>
    <w:rsid w:val="60341DFF"/>
    <w:rsid w:val="607C109C"/>
    <w:rsid w:val="607C1252"/>
    <w:rsid w:val="609C5056"/>
    <w:rsid w:val="60A24FBB"/>
    <w:rsid w:val="60AB0AE3"/>
    <w:rsid w:val="60CAFE72"/>
    <w:rsid w:val="60FE6010"/>
    <w:rsid w:val="610619ED"/>
    <w:rsid w:val="611C241C"/>
    <w:rsid w:val="617D0A50"/>
    <w:rsid w:val="61D92DE6"/>
    <w:rsid w:val="61DED416"/>
    <w:rsid w:val="61FD3AE5"/>
    <w:rsid w:val="62083543"/>
    <w:rsid w:val="62195745"/>
    <w:rsid w:val="6224C446"/>
    <w:rsid w:val="623F2C6D"/>
    <w:rsid w:val="62404C02"/>
    <w:rsid w:val="624D71A8"/>
    <w:rsid w:val="62514EEA"/>
    <w:rsid w:val="625B7B17"/>
    <w:rsid w:val="626D24DE"/>
    <w:rsid w:val="62894684"/>
    <w:rsid w:val="62981606"/>
    <w:rsid w:val="629B6165"/>
    <w:rsid w:val="62DD22DA"/>
    <w:rsid w:val="63016E98"/>
    <w:rsid w:val="63283A59"/>
    <w:rsid w:val="632E7E4C"/>
    <w:rsid w:val="636522D0"/>
    <w:rsid w:val="637F1B58"/>
    <w:rsid w:val="63C92321"/>
    <w:rsid w:val="63DF4774"/>
    <w:rsid w:val="63FFF8DB"/>
    <w:rsid w:val="648A0240"/>
    <w:rsid w:val="64A32268"/>
    <w:rsid w:val="64FF5A4C"/>
    <w:rsid w:val="656327E9"/>
    <w:rsid w:val="6573E3D3"/>
    <w:rsid w:val="657B62F9"/>
    <w:rsid w:val="657F7B04"/>
    <w:rsid w:val="65D7505D"/>
    <w:rsid w:val="65DC3555"/>
    <w:rsid w:val="65E21C31"/>
    <w:rsid w:val="65ECEE9C"/>
    <w:rsid w:val="65F55BA8"/>
    <w:rsid w:val="65F63CF3"/>
    <w:rsid w:val="65FC207D"/>
    <w:rsid w:val="65FE289A"/>
    <w:rsid w:val="65FFFD79"/>
    <w:rsid w:val="66267257"/>
    <w:rsid w:val="663F14FE"/>
    <w:rsid w:val="66937CE1"/>
    <w:rsid w:val="66B21CD0"/>
    <w:rsid w:val="66EA100C"/>
    <w:rsid w:val="66F14577"/>
    <w:rsid w:val="6735657C"/>
    <w:rsid w:val="67684380"/>
    <w:rsid w:val="677B6565"/>
    <w:rsid w:val="67BB2212"/>
    <w:rsid w:val="67BC6137"/>
    <w:rsid w:val="67BC66B2"/>
    <w:rsid w:val="67BDACCA"/>
    <w:rsid w:val="67C64436"/>
    <w:rsid w:val="67D77C40"/>
    <w:rsid w:val="67FDF70C"/>
    <w:rsid w:val="68166636"/>
    <w:rsid w:val="68336E40"/>
    <w:rsid w:val="685F6EB3"/>
    <w:rsid w:val="687A4A6F"/>
    <w:rsid w:val="688D6DD8"/>
    <w:rsid w:val="68951A5F"/>
    <w:rsid w:val="68B5103C"/>
    <w:rsid w:val="68D66149"/>
    <w:rsid w:val="696066A9"/>
    <w:rsid w:val="69895CD7"/>
    <w:rsid w:val="69901FCA"/>
    <w:rsid w:val="69D70A46"/>
    <w:rsid w:val="69D9075E"/>
    <w:rsid w:val="69DA6673"/>
    <w:rsid w:val="69EE78DD"/>
    <w:rsid w:val="6A072332"/>
    <w:rsid w:val="6A0F719E"/>
    <w:rsid w:val="6A1119AC"/>
    <w:rsid w:val="6A1646A3"/>
    <w:rsid w:val="6A403ED9"/>
    <w:rsid w:val="6A58493C"/>
    <w:rsid w:val="6A5A74DA"/>
    <w:rsid w:val="6A7A265C"/>
    <w:rsid w:val="6A815C41"/>
    <w:rsid w:val="6A982DEB"/>
    <w:rsid w:val="6A9F07BD"/>
    <w:rsid w:val="6AA66AB5"/>
    <w:rsid w:val="6AAC5C3C"/>
    <w:rsid w:val="6AC975E8"/>
    <w:rsid w:val="6ADA6134"/>
    <w:rsid w:val="6AE41DB7"/>
    <w:rsid w:val="6B563571"/>
    <w:rsid w:val="6B5B0DCC"/>
    <w:rsid w:val="6B6E08BB"/>
    <w:rsid w:val="6B6F018F"/>
    <w:rsid w:val="6B8F69CA"/>
    <w:rsid w:val="6BA13C28"/>
    <w:rsid w:val="6BAE6F0A"/>
    <w:rsid w:val="6BB7C33B"/>
    <w:rsid w:val="6BDAA1CB"/>
    <w:rsid w:val="6BDB9E97"/>
    <w:rsid w:val="6BE7410A"/>
    <w:rsid w:val="6BEF647C"/>
    <w:rsid w:val="6BF80717"/>
    <w:rsid w:val="6BFB7D7A"/>
    <w:rsid w:val="6BFC6E54"/>
    <w:rsid w:val="6BFF8B7F"/>
    <w:rsid w:val="6BFFF9F1"/>
    <w:rsid w:val="6C1CC7BF"/>
    <w:rsid w:val="6C4746FB"/>
    <w:rsid w:val="6CB10BF2"/>
    <w:rsid w:val="6CBF4531"/>
    <w:rsid w:val="6CC4261D"/>
    <w:rsid w:val="6CDE580B"/>
    <w:rsid w:val="6CEECC61"/>
    <w:rsid w:val="6D047526"/>
    <w:rsid w:val="6D4F0278"/>
    <w:rsid w:val="6D6D1F81"/>
    <w:rsid w:val="6D740571"/>
    <w:rsid w:val="6DA87988"/>
    <w:rsid w:val="6DB1683D"/>
    <w:rsid w:val="6DCB3A6F"/>
    <w:rsid w:val="6DD24A05"/>
    <w:rsid w:val="6DDF392B"/>
    <w:rsid w:val="6DE37CA5"/>
    <w:rsid w:val="6DEE0AAA"/>
    <w:rsid w:val="6E5F7D0F"/>
    <w:rsid w:val="6E75141C"/>
    <w:rsid w:val="6E7F0016"/>
    <w:rsid w:val="6E7F7C1D"/>
    <w:rsid w:val="6EB65494"/>
    <w:rsid w:val="6EDF2EF5"/>
    <w:rsid w:val="6EFF6BEE"/>
    <w:rsid w:val="6F025213"/>
    <w:rsid w:val="6F0D3F9D"/>
    <w:rsid w:val="6F135451"/>
    <w:rsid w:val="6F17C34E"/>
    <w:rsid w:val="6F32464E"/>
    <w:rsid w:val="6F440275"/>
    <w:rsid w:val="6F6779BF"/>
    <w:rsid w:val="6F76C36A"/>
    <w:rsid w:val="6F7A1CD9"/>
    <w:rsid w:val="6F7C5EAC"/>
    <w:rsid w:val="6F8B0D32"/>
    <w:rsid w:val="6F9D8414"/>
    <w:rsid w:val="6FB29C54"/>
    <w:rsid w:val="6FBC0A83"/>
    <w:rsid w:val="6FCF088D"/>
    <w:rsid w:val="6FD93E26"/>
    <w:rsid w:val="6FDAC878"/>
    <w:rsid w:val="6FDAF81D"/>
    <w:rsid w:val="6FDE7D56"/>
    <w:rsid w:val="6FDF0210"/>
    <w:rsid w:val="6FE63398"/>
    <w:rsid w:val="6FE71A95"/>
    <w:rsid w:val="6FE949B4"/>
    <w:rsid w:val="6FEB0B20"/>
    <w:rsid w:val="6FF99662"/>
    <w:rsid w:val="6FFB5BF5"/>
    <w:rsid w:val="6FFBDA12"/>
    <w:rsid w:val="6FFE4EF0"/>
    <w:rsid w:val="6FFEBE04"/>
    <w:rsid w:val="6FFEFE37"/>
    <w:rsid w:val="6FFF1443"/>
    <w:rsid w:val="6FFF4C4B"/>
    <w:rsid w:val="6FFF54C9"/>
    <w:rsid w:val="6FFF59E6"/>
    <w:rsid w:val="6FFF68E3"/>
    <w:rsid w:val="6FFFBC86"/>
    <w:rsid w:val="70207CAA"/>
    <w:rsid w:val="70241EE0"/>
    <w:rsid w:val="702C275E"/>
    <w:rsid w:val="70357BF9"/>
    <w:rsid w:val="70611457"/>
    <w:rsid w:val="70672630"/>
    <w:rsid w:val="70A566AB"/>
    <w:rsid w:val="70F869CD"/>
    <w:rsid w:val="70F86D26"/>
    <w:rsid w:val="70FF45FE"/>
    <w:rsid w:val="710475CC"/>
    <w:rsid w:val="71096990"/>
    <w:rsid w:val="7128128D"/>
    <w:rsid w:val="71364909"/>
    <w:rsid w:val="714300F4"/>
    <w:rsid w:val="714B7705"/>
    <w:rsid w:val="716ECA01"/>
    <w:rsid w:val="719C63DF"/>
    <w:rsid w:val="71B615C9"/>
    <w:rsid w:val="71B63E66"/>
    <w:rsid w:val="71EC078C"/>
    <w:rsid w:val="72301186"/>
    <w:rsid w:val="723D4B43"/>
    <w:rsid w:val="725A6447"/>
    <w:rsid w:val="727644F9"/>
    <w:rsid w:val="72F01BB6"/>
    <w:rsid w:val="72FB055A"/>
    <w:rsid w:val="730D5D09"/>
    <w:rsid w:val="731C29AB"/>
    <w:rsid w:val="73216213"/>
    <w:rsid w:val="73656E0A"/>
    <w:rsid w:val="737C4F39"/>
    <w:rsid w:val="738A0C66"/>
    <w:rsid w:val="73BB6668"/>
    <w:rsid w:val="73E63D73"/>
    <w:rsid w:val="73E6C0D1"/>
    <w:rsid w:val="73F5BE08"/>
    <w:rsid w:val="73FBA95D"/>
    <w:rsid w:val="73FDFFD6"/>
    <w:rsid w:val="73FF354D"/>
    <w:rsid w:val="74033B6B"/>
    <w:rsid w:val="74393A30"/>
    <w:rsid w:val="744245F4"/>
    <w:rsid w:val="74562D73"/>
    <w:rsid w:val="7457323E"/>
    <w:rsid w:val="74A54C22"/>
    <w:rsid w:val="74CE0232"/>
    <w:rsid w:val="74DB7AC1"/>
    <w:rsid w:val="74F6722B"/>
    <w:rsid w:val="74FE3782"/>
    <w:rsid w:val="75134281"/>
    <w:rsid w:val="754DB126"/>
    <w:rsid w:val="75524DAA"/>
    <w:rsid w:val="755A4626"/>
    <w:rsid w:val="755B4EE8"/>
    <w:rsid w:val="75BD4333"/>
    <w:rsid w:val="75BFFF81"/>
    <w:rsid w:val="75E13554"/>
    <w:rsid w:val="75EC5C91"/>
    <w:rsid w:val="75EFD645"/>
    <w:rsid w:val="75F303C2"/>
    <w:rsid w:val="75F6ACD7"/>
    <w:rsid w:val="760E43FB"/>
    <w:rsid w:val="761338CF"/>
    <w:rsid w:val="761E5D03"/>
    <w:rsid w:val="762A53DF"/>
    <w:rsid w:val="764A3ADC"/>
    <w:rsid w:val="765B3F2D"/>
    <w:rsid w:val="76731453"/>
    <w:rsid w:val="767F0A1D"/>
    <w:rsid w:val="7697F30B"/>
    <w:rsid w:val="76982C90"/>
    <w:rsid w:val="76BB076B"/>
    <w:rsid w:val="76C5391B"/>
    <w:rsid w:val="76DD4B47"/>
    <w:rsid w:val="76DDFB2C"/>
    <w:rsid w:val="76F7FE86"/>
    <w:rsid w:val="76F8FEAE"/>
    <w:rsid w:val="76FFAFAF"/>
    <w:rsid w:val="77073972"/>
    <w:rsid w:val="7718792D"/>
    <w:rsid w:val="77403E53"/>
    <w:rsid w:val="77570FA8"/>
    <w:rsid w:val="776F54C8"/>
    <w:rsid w:val="777E6A24"/>
    <w:rsid w:val="779108EB"/>
    <w:rsid w:val="7795F43F"/>
    <w:rsid w:val="77A0211E"/>
    <w:rsid w:val="77A34190"/>
    <w:rsid w:val="77BB52AE"/>
    <w:rsid w:val="77D39F77"/>
    <w:rsid w:val="77D3CC90"/>
    <w:rsid w:val="77D7E741"/>
    <w:rsid w:val="77DB7435"/>
    <w:rsid w:val="77DE11DF"/>
    <w:rsid w:val="77DF1A28"/>
    <w:rsid w:val="77E3682C"/>
    <w:rsid w:val="77E61B9A"/>
    <w:rsid w:val="77E7888E"/>
    <w:rsid w:val="77ED2295"/>
    <w:rsid w:val="77EF3802"/>
    <w:rsid w:val="77F2AF42"/>
    <w:rsid w:val="77FEA335"/>
    <w:rsid w:val="77FF0F63"/>
    <w:rsid w:val="78322C70"/>
    <w:rsid w:val="784A620C"/>
    <w:rsid w:val="784C2381"/>
    <w:rsid w:val="7865175D"/>
    <w:rsid w:val="78874D6A"/>
    <w:rsid w:val="789E4930"/>
    <w:rsid w:val="78AA42BD"/>
    <w:rsid w:val="78D23F5A"/>
    <w:rsid w:val="78E1196C"/>
    <w:rsid w:val="78F62113"/>
    <w:rsid w:val="797B5C4F"/>
    <w:rsid w:val="79BC4EE7"/>
    <w:rsid w:val="79D060FF"/>
    <w:rsid w:val="79DF997F"/>
    <w:rsid w:val="79EF2DBA"/>
    <w:rsid w:val="79F3606F"/>
    <w:rsid w:val="79F4DBC9"/>
    <w:rsid w:val="79FE36D6"/>
    <w:rsid w:val="7A6A04A0"/>
    <w:rsid w:val="7A6B18FD"/>
    <w:rsid w:val="7A7391D8"/>
    <w:rsid w:val="7ABD2CC5"/>
    <w:rsid w:val="7ADBD6C2"/>
    <w:rsid w:val="7AE22B3E"/>
    <w:rsid w:val="7AE7DC2E"/>
    <w:rsid w:val="7AEB2575"/>
    <w:rsid w:val="7AF3BC8D"/>
    <w:rsid w:val="7AF3F90D"/>
    <w:rsid w:val="7AF9BA7D"/>
    <w:rsid w:val="7B0C6CB3"/>
    <w:rsid w:val="7B3E4126"/>
    <w:rsid w:val="7B5D6256"/>
    <w:rsid w:val="7B7498CE"/>
    <w:rsid w:val="7B944CB6"/>
    <w:rsid w:val="7B9719FA"/>
    <w:rsid w:val="7B9B449A"/>
    <w:rsid w:val="7BA07EF1"/>
    <w:rsid w:val="7BAA5FB1"/>
    <w:rsid w:val="7BAF3632"/>
    <w:rsid w:val="7BB6EB5A"/>
    <w:rsid w:val="7BBB110D"/>
    <w:rsid w:val="7BBB8E5D"/>
    <w:rsid w:val="7BBD8543"/>
    <w:rsid w:val="7BBF6CC2"/>
    <w:rsid w:val="7BBF901C"/>
    <w:rsid w:val="7BBF98C3"/>
    <w:rsid w:val="7BCE7867"/>
    <w:rsid w:val="7BCF4EF3"/>
    <w:rsid w:val="7BD5E65E"/>
    <w:rsid w:val="7BDEB05C"/>
    <w:rsid w:val="7BE92A89"/>
    <w:rsid w:val="7BF54C44"/>
    <w:rsid w:val="7BFAEB6D"/>
    <w:rsid w:val="7BFE4FF5"/>
    <w:rsid w:val="7BFEAEBA"/>
    <w:rsid w:val="7BFED7BB"/>
    <w:rsid w:val="7BFF4479"/>
    <w:rsid w:val="7BFF64A8"/>
    <w:rsid w:val="7BFF6BFB"/>
    <w:rsid w:val="7BFFE37E"/>
    <w:rsid w:val="7C016BE2"/>
    <w:rsid w:val="7C0861C2"/>
    <w:rsid w:val="7C365C2B"/>
    <w:rsid w:val="7C3CCFBF"/>
    <w:rsid w:val="7C3FDCF0"/>
    <w:rsid w:val="7C5807CC"/>
    <w:rsid w:val="7C6FE10D"/>
    <w:rsid w:val="7C7A2DF9"/>
    <w:rsid w:val="7C9A2116"/>
    <w:rsid w:val="7CA852AF"/>
    <w:rsid w:val="7CBE4A4D"/>
    <w:rsid w:val="7CE64038"/>
    <w:rsid w:val="7CFBABE1"/>
    <w:rsid w:val="7CFF36D2"/>
    <w:rsid w:val="7D2F777E"/>
    <w:rsid w:val="7D3ECD54"/>
    <w:rsid w:val="7D3F2869"/>
    <w:rsid w:val="7D59469C"/>
    <w:rsid w:val="7D6075E7"/>
    <w:rsid w:val="7D6CCA8E"/>
    <w:rsid w:val="7D6DD6DC"/>
    <w:rsid w:val="7D771165"/>
    <w:rsid w:val="7D7FFD0D"/>
    <w:rsid w:val="7D8908F9"/>
    <w:rsid w:val="7D9DC679"/>
    <w:rsid w:val="7DA95783"/>
    <w:rsid w:val="7DABD165"/>
    <w:rsid w:val="7DAD500B"/>
    <w:rsid w:val="7DB39556"/>
    <w:rsid w:val="7DB93B8C"/>
    <w:rsid w:val="7DBBCBF5"/>
    <w:rsid w:val="7DBFEC53"/>
    <w:rsid w:val="7DCF61C6"/>
    <w:rsid w:val="7DD55C71"/>
    <w:rsid w:val="7DD991DD"/>
    <w:rsid w:val="7DDF1417"/>
    <w:rsid w:val="7DDFF93A"/>
    <w:rsid w:val="7DE5BBF3"/>
    <w:rsid w:val="7DE78960"/>
    <w:rsid w:val="7DEDD24F"/>
    <w:rsid w:val="7DEF0220"/>
    <w:rsid w:val="7DEF36B3"/>
    <w:rsid w:val="7DEF8696"/>
    <w:rsid w:val="7DF65156"/>
    <w:rsid w:val="7DF8AC6A"/>
    <w:rsid w:val="7DFB0AE9"/>
    <w:rsid w:val="7DFBB84D"/>
    <w:rsid w:val="7DFD6C42"/>
    <w:rsid w:val="7DFEB546"/>
    <w:rsid w:val="7DFF4214"/>
    <w:rsid w:val="7DFF4FBD"/>
    <w:rsid w:val="7DFF9575"/>
    <w:rsid w:val="7E470AF8"/>
    <w:rsid w:val="7E57F6B9"/>
    <w:rsid w:val="7E7CF1F2"/>
    <w:rsid w:val="7E7DDD0F"/>
    <w:rsid w:val="7E7E8552"/>
    <w:rsid w:val="7E7F17CC"/>
    <w:rsid w:val="7E7FB819"/>
    <w:rsid w:val="7E7FDC31"/>
    <w:rsid w:val="7E996276"/>
    <w:rsid w:val="7E9F0C83"/>
    <w:rsid w:val="7E9F6A14"/>
    <w:rsid w:val="7EAA6C36"/>
    <w:rsid w:val="7EAB1728"/>
    <w:rsid w:val="7EB47804"/>
    <w:rsid w:val="7EBFC53E"/>
    <w:rsid w:val="7EBFE781"/>
    <w:rsid w:val="7EEBB9D1"/>
    <w:rsid w:val="7EED7BA4"/>
    <w:rsid w:val="7EEF2D23"/>
    <w:rsid w:val="7EF2A807"/>
    <w:rsid w:val="7EF5E173"/>
    <w:rsid w:val="7EF72DF4"/>
    <w:rsid w:val="7EF72FD8"/>
    <w:rsid w:val="7EFB5A3D"/>
    <w:rsid w:val="7EFD06E6"/>
    <w:rsid w:val="7EFF2C2C"/>
    <w:rsid w:val="7EFF9929"/>
    <w:rsid w:val="7F0C421B"/>
    <w:rsid w:val="7F13565B"/>
    <w:rsid w:val="7F1629A4"/>
    <w:rsid w:val="7F1C287F"/>
    <w:rsid w:val="7F272B5E"/>
    <w:rsid w:val="7F2FFE7D"/>
    <w:rsid w:val="7F3E706A"/>
    <w:rsid w:val="7F3F3D57"/>
    <w:rsid w:val="7F402117"/>
    <w:rsid w:val="7F5CB12E"/>
    <w:rsid w:val="7F5D1B0B"/>
    <w:rsid w:val="7F5F3900"/>
    <w:rsid w:val="7F5FE1C7"/>
    <w:rsid w:val="7F6D340D"/>
    <w:rsid w:val="7F6F9CEC"/>
    <w:rsid w:val="7F7459D7"/>
    <w:rsid w:val="7F770DF9"/>
    <w:rsid w:val="7F777AEF"/>
    <w:rsid w:val="7F79D970"/>
    <w:rsid w:val="7F7B4779"/>
    <w:rsid w:val="7F7BACDF"/>
    <w:rsid w:val="7F7D7468"/>
    <w:rsid w:val="7F7D9FA9"/>
    <w:rsid w:val="7F7F447B"/>
    <w:rsid w:val="7F7F9C9E"/>
    <w:rsid w:val="7F8C3055"/>
    <w:rsid w:val="7F8D0AD4"/>
    <w:rsid w:val="7F8F03DC"/>
    <w:rsid w:val="7F934ABA"/>
    <w:rsid w:val="7F9B3D14"/>
    <w:rsid w:val="7F9C88F3"/>
    <w:rsid w:val="7FA676E6"/>
    <w:rsid w:val="7FB15A44"/>
    <w:rsid w:val="7FB9729D"/>
    <w:rsid w:val="7FBB7F85"/>
    <w:rsid w:val="7FBD1EB6"/>
    <w:rsid w:val="7FBD3EA7"/>
    <w:rsid w:val="7FBD5266"/>
    <w:rsid w:val="7FBD64BF"/>
    <w:rsid w:val="7FBF053F"/>
    <w:rsid w:val="7FC85B26"/>
    <w:rsid w:val="7FD86C38"/>
    <w:rsid w:val="7FDBE955"/>
    <w:rsid w:val="7FDF949B"/>
    <w:rsid w:val="7FE5E8DE"/>
    <w:rsid w:val="7FE79DB1"/>
    <w:rsid w:val="7FEE4542"/>
    <w:rsid w:val="7FEEBCB5"/>
    <w:rsid w:val="7FEF5013"/>
    <w:rsid w:val="7FEF899F"/>
    <w:rsid w:val="7FEFEF86"/>
    <w:rsid w:val="7FF34514"/>
    <w:rsid w:val="7FFA5DE4"/>
    <w:rsid w:val="7FFAE971"/>
    <w:rsid w:val="7FFB6187"/>
    <w:rsid w:val="7FFB84E2"/>
    <w:rsid w:val="7FFC7A39"/>
    <w:rsid w:val="7FFD233C"/>
    <w:rsid w:val="7FFD5E59"/>
    <w:rsid w:val="7FFE05A0"/>
    <w:rsid w:val="7FFE6DC2"/>
    <w:rsid w:val="7FFE92F4"/>
    <w:rsid w:val="7FFF1371"/>
    <w:rsid w:val="7FFF65CF"/>
    <w:rsid w:val="7FFF709D"/>
    <w:rsid w:val="7FFF9CD5"/>
    <w:rsid w:val="7FFFCEAE"/>
    <w:rsid w:val="85DD5881"/>
    <w:rsid w:val="86D3552F"/>
    <w:rsid w:val="8BDD93D1"/>
    <w:rsid w:val="8DB65A59"/>
    <w:rsid w:val="8F6CFB7C"/>
    <w:rsid w:val="925C0A6D"/>
    <w:rsid w:val="93FC336E"/>
    <w:rsid w:val="97BED3A7"/>
    <w:rsid w:val="97FA81FF"/>
    <w:rsid w:val="9AFD9E19"/>
    <w:rsid w:val="9BBFC5CB"/>
    <w:rsid w:val="9BFFE5BC"/>
    <w:rsid w:val="9CFF813C"/>
    <w:rsid w:val="9DFD6587"/>
    <w:rsid w:val="9E5F2DB8"/>
    <w:rsid w:val="9E766694"/>
    <w:rsid w:val="9E7B56BD"/>
    <w:rsid w:val="9E7ED74B"/>
    <w:rsid w:val="9F1EE70B"/>
    <w:rsid w:val="9F55EB28"/>
    <w:rsid w:val="9F5CB341"/>
    <w:rsid w:val="9F672A5A"/>
    <w:rsid w:val="9F6B1BB7"/>
    <w:rsid w:val="9F7B2CDA"/>
    <w:rsid w:val="9FAF9A56"/>
    <w:rsid w:val="9FFE01CE"/>
    <w:rsid w:val="9FFFC48F"/>
    <w:rsid w:val="A2E7259A"/>
    <w:rsid w:val="A36F61C8"/>
    <w:rsid w:val="A3DDB586"/>
    <w:rsid w:val="A3E5B80E"/>
    <w:rsid w:val="A67ACDE1"/>
    <w:rsid w:val="A73F7B3C"/>
    <w:rsid w:val="AAC7FC76"/>
    <w:rsid w:val="ACC36656"/>
    <w:rsid w:val="ACDD640D"/>
    <w:rsid w:val="ACEDBC04"/>
    <w:rsid w:val="AD7F69FA"/>
    <w:rsid w:val="AD97216D"/>
    <w:rsid w:val="ADFFE497"/>
    <w:rsid w:val="AEEFD679"/>
    <w:rsid w:val="AEF7B971"/>
    <w:rsid w:val="AF514A05"/>
    <w:rsid w:val="AF7F92FB"/>
    <w:rsid w:val="AF99A324"/>
    <w:rsid w:val="AFBFFF5A"/>
    <w:rsid w:val="AFFE8F57"/>
    <w:rsid w:val="B15F26F1"/>
    <w:rsid w:val="B3E9C594"/>
    <w:rsid w:val="B47EFD21"/>
    <w:rsid w:val="B5773F58"/>
    <w:rsid w:val="B5E46B39"/>
    <w:rsid w:val="B5FF12BB"/>
    <w:rsid w:val="B6F57939"/>
    <w:rsid w:val="B77D6496"/>
    <w:rsid w:val="B77D7E67"/>
    <w:rsid w:val="B77F07AB"/>
    <w:rsid w:val="B77F6E59"/>
    <w:rsid w:val="B7BD3601"/>
    <w:rsid w:val="B7CB91A4"/>
    <w:rsid w:val="B7D36FA8"/>
    <w:rsid w:val="B7E1105A"/>
    <w:rsid w:val="B7FD1AE0"/>
    <w:rsid w:val="B8B326E9"/>
    <w:rsid w:val="B8F93382"/>
    <w:rsid w:val="B9C7C6B5"/>
    <w:rsid w:val="B9FF3CE4"/>
    <w:rsid w:val="BA77530D"/>
    <w:rsid w:val="BAB511EF"/>
    <w:rsid w:val="BAB726DA"/>
    <w:rsid w:val="BB2DBD3C"/>
    <w:rsid w:val="BB4F899D"/>
    <w:rsid w:val="BB7DCDF1"/>
    <w:rsid w:val="BB8F9026"/>
    <w:rsid w:val="BBB87D5D"/>
    <w:rsid w:val="BBE701E2"/>
    <w:rsid w:val="BBEB4B1E"/>
    <w:rsid w:val="BBEF213A"/>
    <w:rsid w:val="BBFF51C6"/>
    <w:rsid w:val="BC676F5A"/>
    <w:rsid w:val="BCDB7B19"/>
    <w:rsid w:val="BCE793E5"/>
    <w:rsid w:val="BD3FB31A"/>
    <w:rsid w:val="BD779E38"/>
    <w:rsid w:val="BDE480B0"/>
    <w:rsid w:val="BDEEFF8A"/>
    <w:rsid w:val="BDEFACE4"/>
    <w:rsid w:val="BDF396CA"/>
    <w:rsid w:val="BDFDDD4F"/>
    <w:rsid w:val="BDFF5717"/>
    <w:rsid w:val="BE54F2DD"/>
    <w:rsid w:val="BE6D51DD"/>
    <w:rsid w:val="BE7FB404"/>
    <w:rsid w:val="BEBC8FAD"/>
    <w:rsid w:val="BEBF06C5"/>
    <w:rsid w:val="BEDFFD83"/>
    <w:rsid w:val="BEFAC2DB"/>
    <w:rsid w:val="BF2F4A5F"/>
    <w:rsid w:val="BF33C23A"/>
    <w:rsid w:val="BF4B7BB1"/>
    <w:rsid w:val="BF5A3EDB"/>
    <w:rsid w:val="BF6DC246"/>
    <w:rsid w:val="BF7D0D95"/>
    <w:rsid w:val="BFA5D3F9"/>
    <w:rsid w:val="BFAB87A6"/>
    <w:rsid w:val="BFABCC6F"/>
    <w:rsid w:val="BFBD5197"/>
    <w:rsid w:val="BFBD8F5F"/>
    <w:rsid w:val="BFD7124A"/>
    <w:rsid w:val="BFDD1D7B"/>
    <w:rsid w:val="BFDD38DF"/>
    <w:rsid w:val="BFDD8FFF"/>
    <w:rsid w:val="BFDF0AC3"/>
    <w:rsid w:val="BFDF62BD"/>
    <w:rsid w:val="BFED8347"/>
    <w:rsid w:val="BFEDAE6E"/>
    <w:rsid w:val="BFF3C889"/>
    <w:rsid w:val="BFF3FCA0"/>
    <w:rsid w:val="BFF5FD1E"/>
    <w:rsid w:val="BFF9B4EA"/>
    <w:rsid w:val="BFFA1615"/>
    <w:rsid w:val="BFFB6114"/>
    <w:rsid w:val="BFFF7B21"/>
    <w:rsid w:val="BFFFCB6E"/>
    <w:rsid w:val="C65F01AC"/>
    <w:rsid w:val="C67DA81C"/>
    <w:rsid w:val="C6B718E6"/>
    <w:rsid w:val="C776AAD2"/>
    <w:rsid w:val="C79FFF40"/>
    <w:rsid w:val="C7E7464A"/>
    <w:rsid w:val="C7ED85AB"/>
    <w:rsid w:val="C7F2FEBA"/>
    <w:rsid w:val="CBBDBDBD"/>
    <w:rsid w:val="CBF7C2A3"/>
    <w:rsid w:val="CCFFEC40"/>
    <w:rsid w:val="CD3BB7E7"/>
    <w:rsid w:val="CD762457"/>
    <w:rsid w:val="CE7FEC49"/>
    <w:rsid w:val="CEB7CB94"/>
    <w:rsid w:val="CEEF03CE"/>
    <w:rsid w:val="CEFB9BD9"/>
    <w:rsid w:val="CF32C9D1"/>
    <w:rsid w:val="CFBBC6D1"/>
    <w:rsid w:val="CFFBFD11"/>
    <w:rsid w:val="CFFF1168"/>
    <w:rsid w:val="CFFFC9DD"/>
    <w:rsid w:val="D1D7956E"/>
    <w:rsid w:val="D2BDFDEF"/>
    <w:rsid w:val="D3ABDAB0"/>
    <w:rsid w:val="D3BE6167"/>
    <w:rsid w:val="D3CDC90A"/>
    <w:rsid w:val="D3F399F9"/>
    <w:rsid w:val="D5334A3F"/>
    <w:rsid w:val="D5ADD255"/>
    <w:rsid w:val="D5AFAD7F"/>
    <w:rsid w:val="D69ECD4A"/>
    <w:rsid w:val="D6FFE2D8"/>
    <w:rsid w:val="D75B311E"/>
    <w:rsid w:val="D77B9491"/>
    <w:rsid w:val="D787BE88"/>
    <w:rsid w:val="D7B7B6CF"/>
    <w:rsid w:val="D7DB4F3E"/>
    <w:rsid w:val="D7FDC320"/>
    <w:rsid w:val="D7FF200B"/>
    <w:rsid w:val="D8C7C1ED"/>
    <w:rsid w:val="D8DFDAC0"/>
    <w:rsid w:val="D9F5FBB2"/>
    <w:rsid w:val="DA5E621D"/>
    <w:rsid w:val="DAF7322E"/>
    <w:rsid w:val="DAFF7C4C"/>
    <w:rsid w:val="DB73B31B"/>
    <w:rsid w:val="DB7F606A"/>
    <w:rsid w:val="DBB722C7"/>
    <w:rsid w:val="DBFF05A2"/>
    <w:rsid w:val="DCDFE90F"/>
    <w:rsid w:val="DCE4604E"/>
    <w:rsid w:val="DCF65432"/>
    <w:rsid w:val="DCFE3A9F"/>
    <w:rsid w:val="DD5DC3AE"/>
    <w:rsid w:val="DDBF9244"/>
    <w:rsid w:val="DDBFEA55"/>
    <w:rsid w:val="DDDFA60C"/>
    <w:rsid w:val="DDEBDBB7"/>
    <w:rsid w:val="DDF566B0"/>
    <w:rsid w:val="DDF6F6FA"/>
    <w:rsid w:val="DDFC8A8A"/>
    <w:rsid w:val="DE8E43AB"/>
    <w:rsid w:val="DEBD1B81"/>
    <w:rsid w:val="DEBF4786"/>
    <w:rsid w:val="DEBF59F0"/>
    <w:rsid w:val="DEFA8EF2"/>
    <w:rsid w:val="DEFB0903"/>
    <w:rsid w:val="DEFF3E4A"/>
    <w:rsid w:val="DF5E5CAD"/>
    <w:rsid w:val="DF6E8875"/>
    <w:rsid w:val="DF7350C8"/>
    <w:rsid w:val="DF9B2FDB"/>
    <w:rsid w:val="DFAAF6F3"/>
    <w:rsid w:val="DFAF0A47"/>
    <w:rsid w:val="DFB36E8C"/>
    <w:rsid w:val="DFCFFFA0"/>
    <w:rsid w:val="DFD7B576"/>
    <w:rsid w:val="DFD7F8CD"/>
    <w:rsid w:val="DFDF86E2"/>
    <w:rsid w:val="DFE11F8D"/>
    <w:rsid w:val="DFEE46C2"/>
    <w:rsid w:val="DFEED0A3"/>
    <w:rsid w:val="DFF32F4E"/>
    <w:rsid w:val="DFFC4362"/>
    <w:rsid w:val="DFFF4EA3"/>
    <w:rsid w:val="DFFFA889"/>
    <w:rsid w:val="E1BF7A10"/>
    <w:rsid w:val="E36E7F5C"/>
    <w:rsid w:val="E3C73C39"/>
    <w:rsid w:val="E3F753A2"/>
    <w:rsid w:val="E56AC93C"/>
    <w:rsid w:val="E5F19684"/>
    <w:rsid w:val="E6FF6C57"/>
    <w:rsid w:val="E74B075E"/>
    <w:rsid w:val="E76D3514"/>
    <w:rsid w:val="E7E56D6B"/>
    <w:rsid w:val="E7F72153"/>
    <w:rsid w:val="E7F87A37"/>
    <w:rsid w:val="E9FB353B"/>
    <w:rsid w:val="EA3BE6E0"/>
    <w:rsid w:val="EB61B44E"/>
    <w:rsid w:val="EB786ED3"/>
    <w:rsid w:val="EBFAFC81"/>
    <w:rsid w:val="EC96D586"/>
    <w:rsid w:val="ECAE1E4D"/>
    <w:rsid w:val="EDBF327D"/>
    <w:rsid w:val="EDDD5AE6"/>
    <w:rsid w:val="EDF131FD"/>
    <w:rsid w:val="EDFAFFD7"/>
    <w:rsid w:val="EDFFE984"/>
    <w:rsid w:val="EE37B022"/>
    <w:rsid w:val="EEAFFB1F"/>
    <w:rsid w:val="EED60C33"/>
    <w:rsid w:val="EED7841C"/>
    <w:rsid w:val="EEDFCF60"/>
    <w:rsid w:val="EEEBE97E"/>
    <w:rsid w:val="EEEF3DDA"/>
    <w:rsid w:val="EEF33A61"/>
    <w:rsid w:val="EEFF22B2"/>
    <w:rsid w:val="EEFF4D37"/>
    <w:rsid w:val="EF2F4E69"/>
    <w:rsid w:val="EF6648A2"/>
    <w:rsid w:val="EF733005"/>
    <w:rsid w:val="EF7354B7"/>
    <w:rsid w:val="EF778569"/>
    <w:rsid w:val="EF77B0DA"/>
    <w:rsid w:val="EFAF873D"/>
    <w:rsid w:val="EFB67CCA"/>
    <w:rsid w:val="EFBE9570"/>
    <w:rsid w:val="EFC57340"/>
    <w:rsid w:val="EFCF0021"/>
    <w:rsid w:val="EFD5D362"/>
    <w:rsid w:val="EFDB5C83"/>
    <w:rsid w:val="EFE7CA46"/>
    <w:rsid w:val="EFEE5A26"/>
    <w:rsid w:val="EFEF0472"/>
    <w:rsid w:val="EFEF9639"/>
    <w:rsid w:val="EFF786B7"/>
    <w:rsid w:val="EFFB10FD"/>
    <w:rsid w:val="EFFB4DE7"/>
    <w:rsid w:val="EFFF38F7"/>
    <w:rsid w:val="EFFFB267"/>
    <w:rsid w:val="EFFFEBD8"/>
    <w:rsid w:val="EFFFECBB"/>
    <w:rsid w:val="F23D4332"/>
    <w:rsid w:val="F26A32D2"/>
    <w:rsid w:val="F2EF8D78"/>
    <w:rsid w:val="F373572A"/>
    <w:rsid w:val="F37E453A"/>
    <w:rsid w:val="F3B7D090"/>
    <w:rsid w:val="F3EB02E8"/>
    <w:rsid w:val="F3EF0822"/>
    <w:rsid w:val="F3F7FC72"/>
    <w:rsid w:val="F3FDCA98"/>
    <w:rsid w:val="F44693C7"/>
    <w:rsid w:val="F4EF5092"/>
    <w:rsid w:val="F4F96333"/>
    <w:rsid w:val="F516B5F7"/>
    <w:rsid w:val="F55FB408"/>
    <w:rsid w:val="F57F2A4B"/>
    <w:rsid w:val="F5BB6B94"/>
    <w:rsid w:val="F5BD3A6D"/>
    <w:rsid w:val="F5FBD4DB"/>
    <w:rsid w:val="F63DEA46"/>
    <w:rsid w:val="F6F3BA67"/>
    <w:rsid w:val="F6F7B1FA"/>
    <w:rsid w:val="F6FB03ED"/>
    <w:rsid w:val="F6FB8BCF"/>
    <w:rsid w:val="F6FD23E2"/>
    <w:rsid w:val="F74FE5A1"/>
    <w:rsid w:val="F7573EC7"/>
    <w:rsid w:val="F75B8098"/>
    <w:rsid w:val="F767CB56"/>
    <w:rsid w:val="F76940FA"/>
    <w:rsid w:val="F7763F7A"/>
    <w:rsid w:val="F797C129"/>
    <w:rsid w:val="F7BE5DBA"/>
    <w:rsid w:val="F7CB1692"/>
    <w:rsid w:val="F7D01C85"/>
    <w:rsid w:val="F7D713DA"/>
    <w:rsid w:val="F7D775EC"/>
    <w:rsid w:val="F7DFCD90"/>
    <w:rsid w:val="F7DFF1B9"/>
    <w:rsid w:val="F7ED5CE4"/>
    <w:rsid w:val="F7EF7FE6"/>
    <w:rsid w:val="F7F7FC6F"/>
    <w:rsid w:val="F7FD05AA"/>
    <w:rsid w:val="F7FDED42"/>
    <w:rsid w:val="F7FEBF76"/>
    <w:rsid w:val="F7FF3B38"/>
    <w:rsid w:val="F89B10DC"/>
    <w:rsid w:val="F8D6625F"/>
    <w:rsid w:val="F94F4251"/>
    <w:rsid w:val="F97E7AB4"/>
    <w:rsid w:val="F97F6E17"/>
    <w:rsid w:val="F9ED6AD9"/>
    <w:rsid w:val="F9FF9C18"/>
    <w:rsid w:val="F9FFDF9C"/>
    <w:rsid w:val="FA3F5F9E"/>
    <w:rsid w:val="FA3FE302"/>
    <w:rsid w:val="FA3FFF0D"/>
    <w:rsid w:val="FA7F693C"/>
    <w:rsid w:val="FA9F672D"/>
    <w:rsid w:val="FAA39802"/>
    <w:rsid w:val="FADF3DDE"/>
    <w:rsid w:val="FAEF99B7"/>
    <w:rsid w:val="FAFBB4F3"/>
    <w:rsid w:val="FAFFCD10"/>
    <w:rsid w:val="FB329568"/>
    <w:rsid w:val="FB4F04D7"/>
    <w:rsid w:val="FB5F2FD3"/>
    <w:rsid w:val="FB7EA662"/>
    <w:rsid w:val="FB7F58B9"/>
    <w:rsid w:val="FBBD2A44"/>
    <w:rsid w:val="FBC7A5D7"/>
    <w:rsid w:val="FBDBCAFD"/>
    <w:rsid w:val="FBDC0979"/>
    <w:rsid w:val="FBDFE3CA"/>
    <w:rsid w:val="FBE61BDE"/>
    <w:rsid w:val="FBEF24F3"/>
    <w:rsid w:val="FBEFAD41"/>
    <w:rsid w:val="FBEFCA1A"/>
    <w:rsid w:val="FBFC3F5F"/>
    <w:rsid w:val="FBFC7132"/>
    <w:rsid w:val="FBFD1B14"/>
    <w:rsid w:val="FBFEAD49"/>
    <w:rsid w:val="FBFF61AD"/>
    <w:rsid w:val="FBFF79E0"/>
    <w:rsid w:val="FBFFCA98"/>
    <w:rsid w:val="FC78E52F"/>
    <w:rsid w:val="FC7D0084"/>
    <w:rsid w:val="FC7FDB19"/>
    <w:rsid w:val="FCBF5396"/>
    <w:rsid w:val="FCF51796"/>
    <w:rsid w:val="FCFE126D"/>
    <w:rsid w:val="FCFEB0FC"/>
    <w:rsid w:val="FCFF1B4F"/>
    <w:rsid w:val="FCFF5F45"/>
    <w:rsid w:val="FD3BB76E"/>
    <w:rsid w:val="FD5E22C2"/>
    <w:rsid w:val="FD6E68BE"/>
    <w:rsid w:val="FD7A8411"/>
    <w:rsid w:val="FD7B5811"/>
    <w:rsid w:val="FD7DDCE4"/>
    <w:rsid w:val="FD7F4B6B"/>
    <w:rsid w:val="FDB5471A"/>
    <w:rsid w:val="FDB91431"/>
    <w:rsid w:val="FDBFA174"/>
    <w:rsid w:val="FDCDF1B9"/>
    <w:rsid w:val="FDDADD15"/>
    <w:rsid w:val="FDE9D5B3"/>
    <w:rsid w:val="FDEF3A59"/>
    <w:rsid w:val="FDF7B0FC"/>
    <w:rsid w:val="FDFB027B"/>
    <w:rsid w:val="FDFBB1CF"/>
    <w:rsid w:val="FDFF1AE6"/>
    <w:rsid w:val="FE748EF9"/>
    <w:rsid w:val="FE7BB176"/>
    <w:rsid w:val="FEAEDBE9"/>
    <w:rsid w:val="FEBC6153"/>
    <w:rsid w:val="FEBFB8FC"/>
    <w:rsid w:val="FEDF1856"/>
    <w:rsid w:val="FEF98B70"/>
    <w:rsid w:val="FEFB1DF0"/>
    <w:rsid w:val="FEFCCD12"/>
    <w:rsid w:val="FEFFF7E5"/>
    <w:rsid w:val="FF0F9471"/>
    <w:rsid w:val="FF1A7D9C"/>
    <w:rsid w:val="FF1C81A6"/>
    <w:rsid w:val="FF1D16A2"/>
    <w:rsid w:val="FF2F338D"/>
    <w:rsid w:val="FF3F4108"/>
    <w:rsid w:val="FF468A7F"/>
    <w:rsid w:val="FF56871E"/>
    <w:rsid w:val="FF5B24BC"/>
    <w:rsid w:val="FF6EA354"/>
    <w:rsid w:val="FF6F8D2E"/>
    <w:rsid w:val="FF7A65C5"/>
    <w:rsid w:val="FF7B4457"/>
    <w:rsid w:val="FF7ECB67"/>
    <w:rsid w:val="FF7F2580"/>
    <w:rsid w:val="FF8B4111"/>
    <w:rsid w:val="FF8E7D34"/>
    <w:rsid w:val="FF950471"/>
    <w:rsid w:val="FF9F15D6"/>
    <w:rsid w:val="FFAE2900"/>
    <w:rsid w:val="FFAF2548"/>
    <w:rsid w:val="FFAF9C36"/>
    <w:rsid w:val="FFBC18AC"/>
    <w:rsid w:val="FFBD55B0"/>
    <w:rsid w:val="FFBDC667"/>
    <w:rsid w:val="FFBEC9FF"/>
    <w:rsid w:val="FFBF172D"/>
    <w:rsid w:val="FFBF29A0"/>
    <w:rsid w:val="FFBF446E"/>
    <w:rsid w:val="FFBFC7A6"/>
    <w:rsid w:val="FFBFE2BD"/>
    <w:rsid w:val="FFD64B31"/>
    <w:rsid w:val="FFD6BEE2"/>
    <w:rsid w:val="FFD7E728"/>
    <w:rsid w:val="FFE60E60"/>
    <w:rsid w:val="FFE9E36A"/>
    <w:rsid w:val="FFEF8467"/>
    <w:rsid w:val="FFEFFF6F"/>
    <w:rsid w:val="FFF21124"/>
    <w:rsid w:val="FFF4F753"/>
    <w:rsid w:val="FFF68DAB"/>
    <w:rsid w:val="FFF6BB53"/>
    <w:rsid w:val="FFF7D3F9"/>
    <w:rsid w:val="FFF7F3EE"/>
    <w:rsid w:val="FFFA02E0"/>
    <w:rsid w:val="FFFA170B"/>
    <w:rsid w:val="FFFB4D5B"/>
    <w:rsid w:val="FFFB87FF"/>
    <w:rsid w:val="FFFBE420"/>
    <w:rsid w:val="FFFC8F4A"/>
    <w:rsid w:val="FFFD17A6"/>
    <w:rsid w:val="FFFE180C"/>
    <w:rsid w:val="FFFE3594"/>
    <w:rsid w:val="FFFF56F8"/>
    <w:rsid w:val="FFFF784B"/>
    <w:rsid w:val="FFFFAEE3"/>
    <w:rsid w:val="FFFFF56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2"/>
    <w:next w:val="1"/>
    <w:qFormat/>
    <w:uiPriority w:val="0"/>
    <w:pPr>
      <w:keepNext/>
      <w:numPr>
        <w:ilvl w:val="1"/>
        <w:numId w:val="1"/>
      </w:numPr>
      <w:tabs>
        <w:tab w:val="left" w:pos="600"/>
        <w:tab w:val="clear" w:pos="0"/>
      </w:tabs>
      <w:adjustRightInd w:val="0"/>
      <w:spacing w:line="360" w:lineRule="auto"/>
      <w:ind w:firstLineChars="0"/>
      <w:jc w:val="center"/>
      <w:textAlignment w:val="baseline"/>
      <w:outlineLvl w:val="1"/>
    </w:pPr>
    <w:rPr>
      <w:rFonts w:ascii="宋体"/>
      <w:kern w:val="0"/>
      <w:sz w:val="28"/>
      <w:szCs w:val="20"/>
    </w:rPr>
  </w:style>
  <w:style w:type="paragraph" w:styleId="4">
    <w:name w:val="heading 3"/>
    <w:basedOn w:val="5"/>
    <w:next w:val="1"/>
    <w:link w:val="31"/>
    <w:qFormat/>
    <w:uiPriority w:val="0"/>
    <w:pPr>
      <w:numPr>
        <w:ilvl w:val="2"/>
        <w:numId w:val="2"/>
      </w:numPr>
      <w:outlineLvl w:val="2"/>
    </w:pPr>
    <w:rPr>
      <w:rFonts w:eastAsia="宋体"/>
      <w:sz w:val="28"/>
    </w:rPr>
  </w:style>
  <w:style w:type="paragraph" w:styleId="5">
    <w:name w:val="heading 4"/>
    <w:basedOn w:val="6"/>
    <w:next w:val="1"/>
    <w:link w:val="30"/>
    <w:qFormat/>
    <w:uiPriority w:val="0"/>
    <w:pPr>
      <w:numPr>
        <w:ilvl w:val="3"/>
        <w:numId w:val="2"/>
      </w:numPr>
      <w:outlineLvl w:val="3"/>
    </w:pPr>
    <w:rPr>
      <w:rFonts w:eastAsia="宋体"/>
      <w:sz w:val="24"/>
    </w:rPr>
  </w:style>
  <w:style w:type="paragraph" w:styleId="6">
    <w:name w:val="heading 5"/>
    <w:basedOn w:val="1"/>
    <w:next w:val="1"/>
    <w:link w:val="32"/>
    <w:qFormat/>
    <w:uiPriority w:val="0"/>
    <w:pPr>
      <w:numPr>
        <w:ilvl w:val="4"/>
        <w:numId w:val="2"/>
      </w:numPr>
      <w:outlineLvl w:val="4"/>
    </w:pPr>
  </w:style>
  <w:style w:type="character" w:default="1" w:styleId="21">
    <w:name w:val="Default Paragraph Font"/>
    <w:semiHidden/>
    <w:qFormat/>
    <w:uiPriority w:val="0"/>
  </w:style>
  <w:style w:type="table" w:default="1" w:styleId="1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Normal Indent"/>
    <w:basedOn w:val="1"/>
    <w:qFormat/>
    <w:uiPriority w:val="0"/>
    <w:pPr>
      <w:tabs>
        <w:tab w:val="left" w:pos="1040"/>
      </w:tabs>
      <w:adjustRightInd w:val="0"/>
      <w:snapToGrid w:val="0"/>
      <w:spacing w:before="80" w:after="80" w:line="288" w:lineRule="auto"/>
      <w:ind w:firstLine="420"/>
    </w:pPr>
    <w:rPr>
      <w:rFonts w:ascii="Univers" w:hAnsi="Univers" w:cs="Times New Roman"/>
      <w:sz w:val="24"/>
      <w:szCs w:val="20"/>
    </w:rPr>
  </w:style>
  <w:style w:type="paragraph" w:styleId="8">
    <w:name w:val="caption"/>
    <w:basedOn w:val="1"/>
    <w:next w:val="1"/>
    <w:qFormat/>
    <w:uiPriority w:val="0"/>
    <w:pPr>
      <w:spacing w:line="360" w:lineRule="auto"/>
    </w:pPr>
    <w:rPr>
      <w:rFonts w:ascii="Cambria" w:hAnsi="Cambria" w:eastAsia="黑体"/>
      <w:sz w:val="20"/>
    </w:rPr>
  </w:style>
  <w:style w:type="paragraph" w:styleId="9">
    <w:name w:val="annotation text"/>
    <w:basedOn w:val="1"/>
    <w:qFormat/>
    <w:uiPriority w:val="0"/>
    <w:pPr>
      <w:jc w:val="left"/>
    </w:pPr>
  </w:style>
  <w:style w:type="paragraph" w:styleId="10">
    <w:name w:val="Body Text"/>
    <w:basedOn w:val="1"/>
    <w:semiHidden/>
    <w:qFormat/>
    <w:uiPriority w:val="0"/>
    <w:rPr>
      <w:rFonts w:ascii="Times New Roman" w:hAnsi="Times New Roman" w:eastAsia="Times New Roman" w:cs="Times New Roman"/>
      <w:sz w:val="20"/>
      <w:szCs w:val="20"/>
      <w:lang w:val="en-US" w:eastAsia="en-US" w:bidi="ar-SA"/>
    </w:rPr>
  </w:style>
  <w:style w:type="paragraph" w:styleId="11">
    <w:name w:val="Body Text Indent"/>
    <w:basedOn w:val="1"/>
    <w:qFormat/>
    <w:uiPriority w:val="0"/>
    <w:pPr>
      <w:spacing w:after="120"/>
      <w:ind w:left="420" w:leftChars="200"/>
    </w:pPr>
  </w:style>
  <w:style w:type="paragraph" w:styleId="12">
    <w:name w:val="toc 3"/>
    <w:basedOn w:val="1"/>
    <w:next w:val="1"/>
    <w:qFormat/>
    <w:uiPriority w:val="0"/>
    <w:pPr>
      <w:ind w:left="840" w:leftChars="400"/>
    </w:pPr>
  </w:style>
  <w:style w:type="paragraph" w:styleId="13">
    <w:name w:val="Date"/>
    <w:basedOn w:val="1"/>
    <w:next w:val="1"/>
    <w:qFormat/>
    <w:uiPriority w:val="0"/>
    <w:pPr>
      <w:ind w:left="100" w:leftChars="2500"/>
    </w:pPr>
    <w:rPr>
      <w:b/>
      <w:sz w:val="24"/>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qFormat/>
    <w:uiPriority w:val="99"/>
    <w:rPr>
      <w:color w:val="0563C1"/>
      <w:u w:val="single"/>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paragraph" w:customStyle="1" w:styleId="24">
    <w:name w:val="WPSOffice手动目录 2"/>
    <w:qFormat/>
    <w:uiPriority w:val="0"/>
    <w:pPr>
      <w:ind w:leftChars="200"/>
    </w:pPr>
    <w:rPr>
      <w:rFonts w:ascii="Times New Roman" w:hAnsi="Times New Roman" w:eastAsia="宋体" w:cs="Times New Roman"/>
      <w:sz w:val="20"/>
      <w:szCs w:val="20"/>
    </w:rPr>
  </w:style>
  <w:style w:type="paragraph" w:customStyle="1" w:styleId="25">
    <w:name w:val="术语标题1"/>
    <w:basedOn w:val="1"/>
    <w:qFormat/>
    <w:uiPriority w:val="0"/>
    <w:pPr>
      <w:widowControl/>
      <w:adjustRightInd/>
      <w:spacing w:line="240" w:lineRule="auto"/>
    </w:pPr>
    <w:rPr>
      <w:rFonts w:ascii="宋体" w:hAnsi="宋体"/>
    </w:rPr>
  </w:style>
  <w:style w:type="paragraph" w:customStyle="1" w:styleId="26">
    <w:name w:val="新规范正文"/>
    <w:basedOn w:val="1"/>
    <w:qFormat/>
    <w:uiPriority w:val="0"/>
    <w:pPr>
      <w:widowControl/>
      <w:autoSpaceDE w:val="0"/>
      <w:autoSpaceDN w:val="0"/>
      <w:adjustRightInd/>
      <w:spacing w:line="240" w:lineRule="auto"/>
      <w:ind w:firstLine="420" w:firstLineChars="200"/>
    </w:pPr>
    <w:rPr>
      <w:rFonts w:ascii="宋体" w:hAnsi="宋体"/>
    </w:rPr>
  </w:style>
  <w:style w:type="paragraph" w:customStyle="1" w:styleId="27">
    <w:name w:val="注"/>
    <w:qFormat/>
    <w:uiPriority w:val="0"/>
    <w:pPr>
      <w:widowControl w:val="0"/>
      <w:tabs>
        <w:tab w:val="center" w:pos="4201"/>
        <w:tab w:val="right" w:leader="dot" w:pos="9298"/>
      </w:tabs>
      <w:autoSpaceDE w:val="0"/>
      <w:autoSpaceDN w:val="0"/>
      <w:ind w:left="363" w:firstLine="374"/>
      <w:jc w:val="both"/>
    </w:pPr>
    <w:rPr>
      <w:rFonts w:ascii="宋体" w:hAnsi="宋体" w:eastAsia="宋体" w:cs="Times New Roman"/>
      <w:sz w:val="18"/>
      <w:lang w:val="en-US" w:eastAsia="zh-CN" w:bidi="ar-SA"/>
    </w:rPr>
  </w:style>
  <w:style w:type="paragraph" w:styleId="28">
    <w:name w:val="List Paragraph"/>
    <w:basedOn w:val="1"/>
    <w:qFormat/>
    <w:uiPriority w:val="34"/>
    <w:pPr>
      <w:ind w:firstLine="420"/>
    </w:pPr>
    <w:rPr>
      <w:rFonts w:ascii="Calibri" w:hAnsi="Calibri"/>
      <w:szCs w:val="20"/>
    </w:rPr>
  </w:style>
  <w:style w:type="paragraph" w:customStyle="1" w:styleId="29">
    <w:name w:val="wang正文"/>
    <w:basedOn w:val="1"/>
    <w:qFormat/>
    <w:uiPriority w:val="0"/>
    <w:pPr>
      <w:tabs>
        <w:tab w:val="left" w:pos="6840"/>
      </w:tabs>
      <w:ind w:firstLine="420"/>
    </w:pPr>
    <w:rPr>
      <w:rFonts w:eastAsia="宋体"/>
      <w:sz w:val="21"/>
      <w:lang w:val="en-US" w:eastAsia="zh-CN"/>
    </w:rPr>
  </w:style>
  <w:style w:type="character" w:customStyle="1" w:styleId="30">
    <w:name w:val="标题 4 字符"/>
    <w:basedOn w:val="21"/>
    <w:link w:val="5"/>
    <w:qFormat/>
    <w:uiPriority w:val="0"/>
    <w:rPr>
      <w:rFonts w:hint="default" w:ascii="Calibri" w:hAnsi="Calibri" w:cs="Times New Roman"/>
      <w:kern w:val="2"/>
      <w:sz w:val="24"/>
      <w:szCs w:val="24"/>
    </w:rPr>
  </w:style>
  <w:style w:type="character" w:customStyle="1" w:styleId="31">
    <w:name w:val="标题 3 字符"/>
    <w:basedOn w:val="21"/>
    <w:link w:val="4"/>
    <w:qFormat/>
    <w:uiPriority w:val="0"/>
    <w:rPr>
      <w:rFonts w:hint="default" w:ascii="Calibri" w:hAnsi="Calibri" w:cs="Times New Roman"/>
      <w:kern w:val="2"/>
      <w:sz w:val="28"/>
      <w:szCs w:val="24"/>
    </w:rPr>
  </w:style>
  <w:style w:type="character" w:customStyle="1" w:styleId="32">
    <w:name w:val="标题 5 字符"/>
    <w:basedOn w:val="21"/>
    <w:link w:val="6"/>
    <w:qFormat/>
    <w:uiPriority w:val="0"/>
    <w:rPr>
      <w:rFonts w:hint="default" w:ascii="Calibri" w:hAnsi="Calibri" w:eastAsia="宋体" w:cs="Times New Roman"/>
      <w:kern w:val="2"/>
      <w:sz w:val="21"/>
      <w:szCs w:val="24"/>
    </w:rPr>
  </w:style>
  <w:style w:type="paragraph" w:customStyle="1" w:styleId="33">
    <w:name w:val="正文表标题"/>
    <w:next w:val="34"/>
    <w:qFormat/>
    <w:uiPriority w:val="0"/>
    <w:pPr>
      <w:numPr>
        <w:ilvl w:val="0"/>
        <w:numId w:val="3"/>
      </w:numPr>
      <w:jc w:val="center"/>
    </w:pPr>
    <w:rPr>
      <w:rFonts w:ascii="黑体" w:hAnsi="Times New Roman" w:eastAsia="黑体" w:cs="Times New Roman"/>
      <w:sz w:val="21"/>
      <w:lang w:val="en-US" w:eastAsia="zh-CN" w:bidi="ar-SA"/>
    </w:rPr>
  </w:style>
  <w:style w:type="paragraph" w:customStyle="1" w:styleId="34">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35">
    <w:name w:val="新规范表"/>
    <w:basedOn w:val="36"/>
    <w:qFormat/>
    <w:uiPriority w:val="0"/>
    <w:pPr>
      <w:spacing w:beforeLines="0" w:line="240" w:lineRule="auto"/>
    </w:pPr>
    <w:rPr>
      <w:rFonts w:ascii="Times New Roman" w:hAnsi="Times New Roman" w:cs="Times New Roman"/>
      <w:sz w:val="20"/>
      <w:szCs w:val="20"/>
    </w:rPr>
  </w:style>
  <w:style w:type="paragraph" w:customStyle="1" w:styleId="36">
    <w:name w:val="规范表"/>
    <w:basedOn w:val="37"/>
    <w:qFormat/>
    <w:uiPriority w:val="0"/>
    <w:pPr>
      <w:spacing w:beforeLines="50"/>
    </w:pPr>
  </w:style>
  <w:style w:type="paragraph" w:customStyle="1" w:styleId="37">
    <w:name w:val="规范图"/>
    <w:basedOn w:val="1"/>
    <w:qFormat/>
    <w:uiPriority w:val="0"/>
    <w:pPr>
      <w:spacing w:line="288" w:lineRule="auto"/>
      <w:jc w:val="center"/>
    </w:pPr>
    <w:rPr>
      <w:rFonts w:ascii="黑体" w:hAnsi="黑体" w:eastAsia="黑体" w:cs="黑体"/>
    </w:rPr>
  </w:style>
  <w:style w:type="character" w:customStyle="1" w:styleId="38">
    <w:name w:val="font71"/>
    <w:basedOn w:val="21"/>
    <w:qFormat/>
    <w:uiPriority w:val="0"/>
    <w:rPr>
      <w:rFonts w:hint="default" w:ascii="Times New Roman" w:hAnsi="Times New Roman" w:cs="Times New Roman"/>
      <w:color w:val="000000"/>
      <w:sz w:val="18"/>
      <w:szCs w:val="18"/>
      <w:u w:val="none"/>
    </w:rPr>
  </w:style>
  <w:style w:type="character" w:customStyle="1" w:styleId="39">
    <w:name w:val="font201"/>
    <w:basedOn w:val="21"/>
    <w:qFormat/>
    <w:uiPriority w:val="0"/>
    <w:rPr>
      <w:rFonts w:hint="default" w:ascii="Times New Roman" w:hAnsi="Times New Roman" w:cs="Times New Roman"/>
      <w:color w:val="000000"/>
      <w:sz w:val="20"/>
      <w:szCs w:val="20"/>
      <w:u w:val="none"/>
    </w:rPr>
  </w:style>
  <w:style w:type="character" w:customStyle="1" w:styleId="40">
    <w:name w:val="font211"/>
    <w:basedOn w:val="21"/>
    <w:qFormat/>
    <w:uiPriority w:val="0"/>
    <w:rPr>
      <w:rFonts w:ascii="宋体" w:hAnsi="宋体" w:eastAsia="宋体" w:cs="宋体"/>
      <w:color w:val="000000"/>
      <w:sz w:val="20"/>
      <w:szCs w:val="20"/>
      <w:u w:val="none"/>
    </w:rPr>
  </w:style>
  <w:style w:type="table" w:customStyle="1" w:styleId="41">
    <w:name w:val="Table Normal"/>
    <w:semiHidden/>
    <w:unhideWhenUsed/>
    <w:qFormat/>
    <w:uiPriority w:val="0"/>
    <w:tblPr>
      <w:tblCellMar>
        <w:top w:w="0" w:type="dxa"/>
        <w:left w:w="0" w:type="dxa"/>
        <w:bottom w:w="0" w:type="dxa"/>
        <w:right w:w="0" w:type="dxa"/>
      </w:tblCellMar>
    </w:tblPr>
  </w:style>
  <w:style w:type="paragraph" w:customStyle="1" w:styleId="42">
    <w:name w:val="Table Text"/>
    <w:basedOn w:val="1"/>
    <w:semiHidden/>
    <w:qFormat/>
    <w:uiPriority w:val="0"/>
    <w:rPr>
      <w:rFonts w:ascii="Times New Roman" w:hAnsi="Times New Roman" w:eastAsia="Times New Roman" w:cs="Times New Roman"/>
      <w:sz w:val="19"/>
      <w:szCs w:val="19"/>
      <w:lang w:val="en-US" w:eastAsia="en-US" w:bidi="ar-SA"/>
    </w:rPr>
  </w:style>
  <w:style w:type="paragraph" w:customStyle="1" w:styleId="43">
    <w:name w:val="Table Paragraph"/>
    <w:basedOn w:val="1"/>
    <w:qFormat/>
    <w:uiPriority w:val="1"/>
    <w:pPr>
      <w:jc w:val="left"/>
    </w:pPr>
    <w:rPr>
      <w:rFonts w:ascii="Calibri" w:hAnsi="Calibri" w:cs="Times New Roman"/>
      <w:sz w:val="22"/>
      <w:szCs w:val="22"/>
      <w:lang w:eastAsia="en-US"/>
    </w:rPr>
  </w:style>
  <w:style w:type="paragraph" w:customStyle="1" w:styleId="44">
    <w:name w:val="新规范注"/>
    <w:basedOn w:val="1"/>
    <w:qFormat/>
    <w:uiPriority w:val="0"/>
    <w:pPr>
      <w:spacing w:line="288" w:lineRule="auto"/>
      <w:ind w:firstLine="435"/>
    </w:pPr>
    <w:rPr>
      <w:rFonts w:ascii="Times New Roman" w:hAnsi="Times New Roman" w:cs="Times New Roman"/>
      <w:sz w:val="18"/>
      <w:szCs w:val="18"/>
    </w:rPr>
  </w:style>
  <w:style w:type="paragraph" w:customStyle="1" w:styleId="45">
    <w:name w:val="段 + (符号) 宋体"/>
    <w:basedOn w:val="27"/>
    <w:qFormat/>
    <w:uiPriority w:val="0"/>
    <w:pPr>
      <w:ind w:firstLine="0"/>
    </w:pPr>
    <w:rPr>
      <w:szCs w:val="18"/>
    </w:rPr>
  </w:style>
  <w:style w:type="paragraph" w:customStyle="1" w:styleId="46">
    <w:name w:val="标准文件_注×："/>
    <w:qFormat/>
    <w:uiPriority w:val="0"/>
    <w:pPr>
      <w:widowControl w:val="0"/>
      <w:numPr>
        <w:ilvl w:val="0"/>
        <w:numId w:val="4"/>
      </w:numPr>
      <w:autoSpaceDE w:val="0"/>
      <w:autoSpaceDN w:val="0"/>
      <w:ind w:left="811"/>
      <w:jc w:val="both"/>
    </w:pPr>
    <w:rPr>
      <w:rFonts w:ascii="宋体" w:hAnsi="宋体" w:eastAsia="宋体" w:cs="Times New Roman"/>
      <w:sz w:val="18"/>
      <w:szCs w:val="18"/>
      <w:lang w:val="en-US" w:eastAsia="zh-CN" w:bidi="ar-SA"/>
    </w:rPr>
  </w:style>
  <w:style w:type="paragraph" w:customStyle="1" w:styleId="47">
    <w:name w:val="新规范图"/>
    <w:basedOn w:val="33"/>
    <w:qFormat/>
    <w:uiPriority w:val="0"/>
    <w:pPr>
      <w:numPr>
        <w:ilvl w:val="0"/>
        <w:numId w:val="5"/>
      </w:numPr>
      <w:tabs>
        <w:tab w:val="clear" w:pos="0"/>
      </w:tabs>
      <w:spacing w:before="120" w:beforeLines="50" w:after="120" w:afterLines="50"/>
      <w:ind w:left="3545"/>
    </w:pPr>
    <w:rPr>
      <w:rFonts w:ascii="Times New Roman" w:cs="Times New Roman"/>
      <w:szCs w:val="20"/>
    </w:rPr>
  </w:style>
  <w:style w:type="paragraph" w:customStyle="1" w:styleId="48">
    <w:name w:val="标准文件_正文公式"/>
    <w:basedOn w:val="1"/>
    <w:next w:val="49"/>
    <w:qFormat/>
    <w:uiPriority w:val="0"/>
    <w:pPr>
      <w:tabs>
        <w:tab w:val="center" w:pos="4678"/>
        <w:tab w:val="right" w:leader="middleDot" w:pos="9356"/>
      </w:tabs>
      <w:adjustRightInd w:val="0"/>
    </w:pPr>
    <w:rPr>
      <w:rFonts w:ascii="宋体" w:hAnsi="宋体" w:cs="Times New Roman"/>
    </w:rPr>
  </w:style>
  <w:style w:type="paragraph" w:customStyle="1" w:styleId="49">
    <w:name w:val="标准文件_标准正文"/>
    <w:basedOn w:val="1"/>
    <w:next w:val="50"/>
    <w:qFormat/>
    <w:uiPriority w:val="0"/>
    <w:pPr>
      <w:adjustRightInd w:val="0"/>
      <w:snapToGrid w:val="0"/>
      <w:spacing w:line="400" w:lineRule="exact"/>
      <w:ind w:firstLine="200" w:firstLineChars="200"/>
    </w:pPr>
    <w:rPr>
      <w:rFonts w:cs="Times New Roman"/>
      <w:kern w:val="0"/>
    </w:rPr>
  </w:style>
  <w:style w:type="paragraph" w:customStyle="1" w:styleId="50">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5554</Words>
  <Characters>5971</Characters>
  <Lines>1</Lines>
  <Paragraphs>1</Paragraphs>
  <TotalTime>8</TotalTime>
  <ScaleCrop>false</ScaleCrop>
  <LinksUpToDate>false</LinksUpToDate>
  <CharactersWithSpaces>6184</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2024-08-05T21:15:00Z</dcterms:created>
  <dc:creator>柏三创@物资云·贵宾客服</dc:creator>
  <cp:lastModifiedBy>蔡菜</cp:lastModifiedBy>
  <dcterms:modified xsi:type="dcterms:W3CDTF">2026-04-22T11:12:52Z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9D2AAD5F234FEC1C06155568FC51A647_43</vt:lpwstr>
  </property>
  <property fmtid="{D5CDD505-2E9C-101B-9397-08002B2CF9AE}" pid="4" name="KSOTemplateDocerSaveRecord">
    <vt:lpwstr>eyJoZGlkIjoiMDAyMzk0Mjc5MWJmOWM2MjBiMzRjY2ZhNmE0NDA1YTAiLCJ1c2VySWQiOiIzNDU5ODMyMjcifQ==</vt:lpwstr>
  </property>
</Properties>
</file>