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eastAsia="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9</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热电偶用补偿导线与</w:t>
      </w:r>
      <w:r>
        <w:rPr>
          <w:rFonts w:hint="eastAsia" w:ascii="黑体" w:hAnsi="黑体" w:eastAsia="黑体" w:cs="黑体"/>
          <w:b w:val="0"/>
          <w:bCs w:val="0"/>
          <w:w w:val="100"/>
          <w:sz w:val="44"/>
          <w:szCs w:val="44"/>
          <w:lang w:val="en-US"/>
        </w:rPr>
        <w:t>电缆</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142841718"/>
          <w:lang w:val="en-US"/>
        </w:rPr>
        <w:t>编制说</w:t>
      </w:r>
      <w:r>
        <w:rPr>
          <w:rFonts w:hint="eastAsia" w:ascii="黑体" w:hAnsi="黑体" w:eastAsia="黑体" w:cs="黑体"/>
          <w:b/>
          <w:bCs/>
          <w:spacing w:val="1"/>
          <w:kern w:val="0"/>
          <w:sz w:val="52"/>
          <w:szCs w:val="52"/>
          <w:fitText w:val="3120" w:id="2142841718"/>
          <w:lang w:val="en-US"/>
        </w:rPr>
        <w:t>明</w:t>
      </w: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3AF4EEA2">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15F8C6C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7AFDEED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472000152"/>
      <w:bookmarkStart w:id="2" w:name="_Toc23793"/>
      <w:bookmarkStart w:id="3" w:name="_Toc467852381"/>
      <w:bookmarkStart w:id="4" w:name="_Toc476665731"/>
      <w:bookmarkStart w:id="5" w:name="_Toc25758"/>
      <w:bookmarkStart w:id="6" w:name="_Toc24681"/>
      <w:bookmarkStart w:id="7" w:name="_Toc1563290462"/>
      <w:bookmarkStart w:id="8" w:name="_Toc155256224"/>
      <w:bookmarkStart w:id="9" w:name="_Toc26336"/>
      <w:bookmarkStart w:id="10" w:name="_Toc28983"/>
      <w:bookmarkStart w:id="11" w:name="_Toc1665062136"/>
      <w:bookmarkStart w:id="12" w:name="_Toc28110"/>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4</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bookmarkStart w:id="245" w:name="_GoBack"/>
          <w:bookmarkEnd w:id="245"/>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6506"/>
      <w:bookmarkStart w:id="14" w:name="_Toc26735"/>
      <w:bookmarkStart w:id="15" w:name="_Toc26147"/>
      <w:bookmarkStart w:id="16" w:name="_Toc32428"/>
      <w:bookmarkStart w:id="17" w:name="_Toc262095872"/>
      <w:bookmarkStart w:id="18" w:name="_Toc7173"/>
      <w:bookmarkStart w:id="19" w:name="_Toc7834"/>
      <w:bookmarkStart w:id="20" w:name="_Toc10066"/>
      <w:bookmarkStart w:id="21" w:name="_Toc13053"/>
      <w:bookmarkStart w:id="22" w:name="_Toc2273"/>
      <w:bookmarkStart w:id="23" w:name="_Toc1684"/>
      <w:bookmarkStart w:id="24" w:name="_Toc28305"/>
      <w:bookmarkStart w:id="25" w:name="_Toc8672"/>
      <w:bookmarkStart w:id="26" w:name="_Toc474794126"/>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17126"/>
      <w:bookmarkStart w:id="28" w:name="_Toc19019"/>
      <w:bookmarkStart w:id="29" w:name="_Toc556360707"/>
      <w:bookmarkStart w:id="30" w:name="_Toc8748"/>
      <w:bookmarkStart w:id="31" w:name="_Toc546"/>
      <w:bookmarkStart w:id="32" w:name="_Toc11618"/>
      <w:bookmarkStart w:id="33" w:name="_Toc1963127077"/>
      <w:bookmarkStart w:id="34" w:name="_Toc12774"/>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第9部分：热电偶用补偿导线与电缆》系T/CTBA 006《电线电缆采购技术规范》的第9部分，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等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9349"/>
      <w:bookmarkStart w:id="36" w:name="_Toc13791"/>
      <w:bookmarkStart w:id="37" w:name="_Toc19726"/>
      <w:bookmarkStart w:id="38" w:name="_Toc610603511"/>
      <w:bookmarkStart w:id="39" w:name="_Toc338030631"/>
      <w:bookmarkStart w:id="40" w:name="_Toc24930"/>
      <w:bookmarkStart w:id="41" w:name="_Toc7245"/>
      <w:bookmarkStart w:id="42" w:name="_Toc32418"/>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29490"/>
      <w:bookmarkStart w:id="44" w:name="_Toc1186568902"/>
      <w:bookmarkStart w:id="45" w:name="_Toc26444"/>
      <w:bookmarkStart w:id="46" w:name="_Toc29426"/>
      <w:bookmarkStart w:id="47" w:name="_Toc4636"/>
      <w:bookmarkStart w:id="48" w:name="_Toc15370"/>
      <w:bookmarkStart w:id="49" w:name="_Toc1736344011"/>
      <w:bookmarkStart w:id="50" w:name="_Toc11138"/>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28989"/>
      <w:bookmarkStart w:id="52" w:name="_Toc12796"/>
      <w:bookmarkStart w:id="53" w:name="_Toc578513794"/>
      <w:bookmarkStart w:id="54" w:name="_Toc1133"/>
      <w:bookmarkStart w:id="55" w:name="_Toc1130389872"/>
      <w:bookmarkStart w:id="56" w:name="_Toc11739"/>
      <w:bookmarkStart w:id="57" w:name="_Toc11490"/>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eastAsia="zh-CN"/>
        </w:rPr>
        <w:t>；</w:t>
      </w:r>
      <w:r>
        <w:rPr>
          <w:rFonts w:hint="default" w:ascii="Times New Roman Regular" w:hAnsi="Times New Roman Regular" w:eastAsia="宋体" w:cs="Times New Roman Regular"/>
          <w:b w:val="0"/>
          <w:sz w:val="21"/>
          <w:szCs w:val="21"/>
          <w:lang w:val="en-US" w:eastAsia="zh-CN"/>
        </w:rPr>
        <w:t>同时决定以光伏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电缆为试点，成立《发电企业电线电缆采购技术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电缆》编制组，探索开启编制工作。</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25711"/>
      <w:bookmarkStart w:id="59" w:name="_Toc1822237342"/>
      <w:bookmarkStart w:id="60" w:name="_Toc4142"/>
      <w:bookmarkStart w:id="61" w:name="_Toc1422865789"/>
      <w:bookmarkStart w:id="62" w:name="_Toc10961"/>
      <w:bookmarkStart w:id="63" w:name="_Toc10360"/>
      <w:bookmarkStart w:id="64" w:name="_Toc3351"/>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219113A4">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2024年4月29日，中国招标投标协会发布《发电企业电线电缆采购技术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公示，公示期为2024年4月29日至2024年5月14日</w:t>
      </w:r>
      <w:r>
        <w:rPr>
          <w:rFonts w:hint="default" w:ascii="Times New Roman Regular" w:hAnsi="Times New Roman Regular" w:eastAsia="宋体" w:cs="Times New Roman Regular"/>
          <w:b w:val="0"/>
          <w:sz w:val="21"/>
          <w:szCs w:val="21"/>
        </w:rPr>
        <w:t>。</w:t>
      </w:r>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日，中国招标投标协会发布《电线电缆采购技术</w:t>
      </w:r>
      <w:r>
        <w:rPr>
          <w:rFonts w:hint="eastAsia" w:ascii="Times New Roman Regular" w:hAnsi="Times New Roman Regular" w:eastAsia="宋体" w:cs="Times New Roman Regular"/>
          <w:b w:val="0"/>
          <w:sz w:val="21"/>
          <w:szCs w:val="21"/>
          <w:lang w:val="en-US" w:eastAsia="zh-CN"/>
        </w:rPr>
        <w:t>规范 第9部分：</w:t>
      </w:r>
      <w:r>
        <w:rPr>
          <w:rFonts w:hint="eastAsia" w:ascii="Times New Roman Regular" w:hAnsi="Times New Roman Regular" w:eastAsia="宋体" w:cs="Times New Roman Regular"/>
          <w:b w:val="0"/>
          <w:bCs w:val="0"/>
          <w:sz w:val="21"/>
          <w:szCs w:val="21"/>
          <w:lang w:val="en-US" w:eastAsia="zh-CN"/>
        </w:rPr>
        <w:t>热电偶用补偿导线与电缆</w:t>
      </w:r>
      <w:r>
        <w:rPr>
          <w:rFonts w:hint="default" w:ascii="Times New Roman Regular" w:hAnsi="Times New Roman Regular" w:eastAsia="宋体" w:cs="Times New Roman Regular"/>
          <w:b w:val="0"/>
          <w:sz w:val="21"/>
          <w:szCs w:val="21"/>
          <w:lang w:val="en-US" w:eastAsia="zh-CN"/>
        </w:rPr>
        <w:t>》团体标准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6113"/>
      <w:bookmarkStart w:id="66" w:name="_Toc24042"/>
      <w:bookmarkStart w:id="67" w:name="_Toc1078717127"/>
      <w:bookmarkStart w:id="68" w:name="_Toc13373"/>
      <w:bookmarkStart w:id="69" w:name="_Toc1874906378"/>
      <w:bookmarkStart w:id="70" w:name="_Toc14673"/>
      <w:bookmarkStart w:id="71" w:name="_Toc19751"/>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6</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至2025年5月，组织标准起草单位，开启标准编制工作，分工如下：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中国华电集团物资有限公司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中国水利电力物资集团有限公司、中国电能成套设备有限公司、国家能源集团物资有限公司、华能招标有限公司、电能（北京）认证中心有限公司、华能能源交通产业控股有限公司北京分公司、华能泰山电力有限公司、中国水利电力物资上海有限公司、华电海南物资有限公司、国能诚信招标有限公司、北京国电工程招标有限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焦作市宏亮电力技术咨询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上海宝华国际招标有限公司、鞍钢招标有限公司、五矿国际招标有限责任公司、中色国际贸易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中交机电局工程有限公司、内蒙古能源集团有限公司、北京京能招标集采中心有限责任公司、山东能源集团有限公司、江苏省国信集团有限公司、安徽省新能创业投资有限责任公司、北京城市轨道交通咨询有限公司、包头市必得招标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至11月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1274FD6F">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15日，召开第一次编制工作会。</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3—6</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7</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3A9E9180">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2025年8—12月，编制组根据反馈意见进行修订，形成《送审稿》。</w:t>
      </w:r>
    </w:p>
    <w:p w14:paraId="4F11129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highlight w:val="none"/>
          <w:lang w:val="en-US" w:eastAsia="zh-CN"/>
        </w:rPr>
      </w:pPr>
      <w:r>
        <w:rPr>
          <w:rFonts w:hint="eastAsia" w:ascii="Times New Roman Regular" w:hAnsi="Times New Roman Regular" w:eastAsia="宋体" w:cs="Times New Roman Regular"/>
          <w:kern w:val="2"/>
          <w:sz w:val="21"/>
          <w:szCs w:val="21"/>
          <w:highlight w:val="none"/>
          <w:lang w:val="en-US" w:eastAsia="zh-CN"/>
        </w:rPr>
        <w:t>2026年4月，发布《送审稿》，面向社会公开征求意见。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8777"/>
      <w:bookmarkStart w:id="74" w:name="_Toc17840"/>
      <w:bookmarkStart w:id="75" w:name="_Toc941805515"/>
      <w:bookmarkStart w:id="76" w:name="_Toc1326"/>
      <w:bookmarkStart w:id="77" w:name="_Toc31694"/>
      <w:bookmarkStart w:id="78" w:name="_Toc16201"/>
      <w:bookmarkStart w:id="79" w:name="_Toc22777"/>
      <w:bookmarkStart w:id="80" w:name="_Toc21766"/>
      <w:bookmarkStart w:id="81" w:name="_Toc17300"/>
      <w:bookmarkStart w:id="82" w:name="_Toc17271"/>
      <w:bookmarkStart w:id="83" w:name="_Toc1523942615"/>
      <w:bookmarkStart w:id="84" w:name="_Toc25549"/>
      <w:bookmarkStart w:id="85" w:name="_Toc31329"/>
      <w:bookmarkStart w:id="86" w:name="_Toc1482"/>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的限定在一定程度上不能正确表达标准的适用行业领域，建议变更名称，删除</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以增强标准的通用性和行业参考价值；同时，名称变更也更有利于吸引更多行业领域采购单位参与，切实推动电线电缆采购的整体提质增效。2025年8月29日，中招协发布“关于《发电企业电线电缆采购技术规范》《煤矿企业电线电缆采购技术规范》《发电企业电线电缆采购技术评审指南》等团体标准名称变更的公告”（中招协发〔2025〕70号），T/CTBA 006系列标准统一改为《电线电缆采购技术规范》</w:t>
      </w:r>
      <w:r>
        <w:rPr>
          <w:rFonts w:hint="eastAsia" w:ascii="Times New Roman Regular" w:hAnsi="Times New Roman Regular" w:eastAsia="宋体" w:cs="Times New Roman Regular"/>
          <w:b w:val="0"/>
          <w:bCs w:val="0"/>
          <w:sz w:val="21"/>
          <w:szCs w:val="21"/>
          <w:lang w:val="en-US" w:eastAsia="zh-CN"/>
        </w:rPr>
        <w:t>，故本部分标准更名为《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9</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sz w:val="21"/>
          <w:szCs w:val="21"/>
          <w:lang w:val="en-US" w:eastAsia="zh-CN"/>
        </w:rPr>
        <w:t>热电偶用补偿导线与</w:t>
      </w:r>
      <w:r>
        <w:rPr>
          <w:rFonts w:hint="eastAsia" w:ascii="Times New Roman Regular" w:hAnsi="Times New Roman Regular" w:eastAsia="宋体" w:cs="Times New Roman Regular"/>
          <w:b w:val="0"/>
          <w:bCs w:val="0"/>
          <w:sz w:val="21"/>
          <w:szCs w:val="21"/>
          <w:lang w:val="en-US" w:eastAsia="zh-CN"/>
        </w:rPr>
        <w:t>电缆</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5485"/>
      <w:bookmarkStart w:id="88" w:name="_Toc4698"/>
      <w:bookmarkStart w:id="89" w:name="_Toc16264"/>
      <w:bookmarkStart w:id="90" w:name="_Toc29105"/>
      <w:bookmarkStart w:id="91" w:name="_Toc21633"/>
      <w:bookmarkStart w:id="92" w:name="_Toc1970812215"/>
      <w:bookmarkStart w:id="93" w:name="_Toc10148"/>
      <w:bookmarkStart w:id="94" w:name="_Toc29697"/>
      <w:bookmarkStart w:id="95" w:name="_Toc2013556183"/>
      <w:bookmarkStart w:id="96" w:name="_Toc23084"/>
      <w:bookmarkStart w:id="97" w:name="_Toc250"/>
      <w:bookmarkStart w:id="98" w:name="_Toc766"/>
      <w:bookmarkStart w:id="99" w:name="_Toc27860"/>
      <w:bookmarkStart w:id="100" w:name="_Toc17477"/>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653126177"/>
      <w:bookmarkStart w:id="102" w:name="_Toc1791458255"/>
      <w:bookmarkStart w:id="103" w:name="_Toc11837"/>
      <w:bookmarkStart w:id="104" w:name="_Toc629"/>
      <w:bookmarkStart w:id="105" w:name="_Toc2507"/>
      <w:bookmarkStart w:id="106" w:name="_Toc22135"/>
      <w:bookmarkStart w:id="107" w:name="_Toc7095"/>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783"/>
      <w:bookmarkStart w:id="109" w:name="_Toc19756"/>
      <w:bookmarkStart w:id="110" w:name="_Toc9906"/>
      <w:bookmarkStart w:id="111" w:name="_Toc1318160845"/>
      <w:bookmarkStart w:id="112" w:name="_Toc15922"/>
      <w:bookmarkStart w:id="113" w:name="_Toc8568"/>
      <w:bookmarkStart w:id="114" w:name="_Toc1975"/>
      <w:bookmarkStart w:id="115" w:name="_Toc1302737022"/>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32176"/>
      <w:bookmarkStart w:id="117" w:name="_Toc888019463"/>
      <w:bookmarkStart w:id="118" w:name="_Toc22068"/>
      <w:bookmarkStart w:id="119" w:name="_Toc6626"/>
      <w:bookmarkStart w:id="120" w:name="_Toc473"/>
      <w:bookmarkStart w:id="121" w:name="_Toc11494"/>
      <w:bookmarkStart w:id="122" w:name="_Toc9954"/>
      <w:bookmarkStart w:id="123" w:name="_Toc1505347589"/>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21195"/>
      <w:bookmarkStart w:id="125" w:name="_Toc11207"/>
      <w:bookmarkStart w:id="126" w:name="_Toc872083016"/>
      <w:bookmarkStart w:id="127" w:name="_Toc30308"/>
      <w:bookmarkStart w:id="128" w:name="_Toc26131"/>
      <w:bookmarkStart w:id="129" w:name="_Toc2079251638"/>
      <w:bookmarkStart w:id="130" w:name="_Toc25167"/>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热电偶用补偿导线与</w:t>
      </w:r>
      <w:r>
        <w:rPr>
          <w:rFonts w:hint="eastAsia" w:ascii="Times New Roman Regular" w:hAnsi="Times New Roman Regular" w:eastAsia="宋体" w:cs="Times New Roman Regular"/>
          <w:b w:val="0"/>
          <w:bCs w:val="0"/>
          <w:sz w:val="21"/>
          <w:szCs w:val="21"/>
          <w:lang w:val="en-US" w:eastAsia="zh-CN"/>
        </w:rPr>
        <w:t>电缆</w:t>
      </w:r>
      <w:r>
        <w:rPr>
          <w:rFonts w:hint="default" w:ascii="Times New Roman Regular" w:hAnsi="Times New Roman Regular" w:eastAsia="宋体" w:cs="Times New Roman Regular"/>
          <w:sz w:val="21"/>
          <w:szCs w:val="21"/>
          <w:lang w:val="en-US" w:eastAsia="zh-CN"/>
        </w:rPr>
        <w:t>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热电偶用补偿导线与</w:t>
      </w:r>
      <w:r>
        <w:rPr>
          <w:rFonts w:hint="eastAsia" w:ascii="Times New Roman Regular" w:hAnsi="Times New Roman Regular" w:eastAsia="宋体" w:cs="Times New Roman Regular"/>
          <w:b w:val="0"/>
          <w:bCs w:val="0"/>
          <w:sz w:val="21"/>
          <w:szCs w:val="21"/>
          <w:lang w:val="en-US" w:eastAsia="zh-CN"/>
        </w:rPr>
        <w:t>电缆</w:t>
      </w:r>
      <w:r>
        <w:rPr>
          <w:rFonts w:hint="default" w:ascii="Times New Roman Regular" w:hAnsi="Times New Roman Regular" w:eastAsia="宋体" w:cs="Times New Roman Regular"/>
          <w:sz w:val="21"/>
          <w:szCs w:val="21"/>
          <w:lang w:val="en-US" w:eastAsia="zh-CN"/>
        </w:rPr>
        <w:t>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10968"/>
      <w:bookmarkStart w:id="132" w:name="_Toc21031"/>
      <w:bookmarkStart w:id="133" w:name="_Toc2701"/>
      <w:bookmarkStart w:id="134" w:name="_Toc6290"/>
      <w:bookmarkStart w:id="135" w:name="_Toc1810"/>
      <w:bookmarkStart w:id="136" w:name="_Toc3759"/>
      <w:bookmarkStart w:id="137" w:name="_Toc23960"/>
      <w:bookmarkStart w:id="138" w:name="_Toc16282"/>
      <w:bookmarkStart w:id="139" w:name="_Toc9905"/>
      <w:bookmarkStart w:id="140" w:name="_Toc28592"/>
      <w:bookmarkStart w:id="141" w:name="_Toc20175"/>
      <w:bookmarkStart w:id="142" w:name="_Toc2128375882"/>
      <w:bookmarkStart w:id="143" w:name="_Toc523359137"/>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978340695"/>
      <w:bookmarkStart w:id="145" w:name="_Toc3997447"/>
      <w:bookmarkStart w:id="146" w:name="_Toc2017"/>
      <w:bookmarkStart w:id="147" w:name="_Toc5227"/>
      <w:bookmarkStart w:id="148" w:name="_Toc11516"/>
      <w:bookmarkStart w:id="149" w:name="_Toc10765"/>
      <w:bookmarkStart w:id="150" w:name="_Toc14559"/>
      <w:bookmarkStart w:id="151" w:name="_Toc1178"/>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1837259433"/>
      <w:bookmarkStart w:id="153" w:name="_Toc613098672"/>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1783419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bookmarkStart w:id="154" w:name="_Toc970"/>
      <w:bookmarkStart w:id="155" w:name="_Toc25529"/>
      <w:bookmarkStart w:id="156" w:name="_Toc8409"/>
      <w:bookmarkStart w:id="157" w:name="_Toc31433"/>
      <w:bookmarkStart w:id="158" w:name="_Toc19290"/>
      <w:bookmarkStart w:id="159" w:name="_Toc23273"/>
      <w:r>
        <w:rPr>
          <w:rFonts w:hint="eastAsia" w:ascii="宋体" w:hAnsi="宋体" w:eastAsia="宋体" w:cs="宋体"/>
          <w:b w:val="0"/>
          <w:bCs w:val="0"/>
          <w:kern w:val="0"/>
          <w:sz w:val="21"/>
          <w:szCs w:val="21"/>
          <w:lang w:val="en-US" w:eastAsia="zh-CN"/>
        </w:rPr>
        <w:t>本文件规定了</w:t>
      </w:r>
      <w:r>
        <w:rPr>
          <w:rFonts w:hint="eastAsia" w:ascii="宋体" w:hAnsi="宋体" w:eastAsia="宋体" w:cs="宋体"/>
          <w:b w:val="0"/>
          <w:bCs w:val="0"/>
          <w:kern w:val="0"/>
          <w:sz w:val="21"/>
          <w:szCs w:val="21"/>
          <w:u w:val="none"/>
          <w:lang w:val="en-US" w:eastAsia="zh-CN"/>
        </w:rPr>
        <w:t>热电偶用补偿导线与</w:t>
      </w:r>
      <w:r>
        <w:rPr>
          <w:rFonts w:hint="eastAsia" w:ascii="Times New Roman Regular" w:hAnsi="Times New Roman Regular" w:eastAsia="宋体" w:cs="Times New Roman Regular"/>
          <w:spacing w:val="-1"/>
          <w:sz w:val="21"/>
          <w:szCs w:val="21"/>
          <w:lang w:val="en-US" w:eastAsia="zh-CN"/>
        </w:rPr>
        <w:t>电缆</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4E42E042">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宋体" w:hAnsi="宋体" w:eastAsia="宋体" w:cs="宋体"/>
          <w:b w:val="0"/>
          <w:bCs w:val="0"/>
          <w:kern w:val="0"/>
          <w:sz w:val="21"/>
          <w:szCs w:val="21"/>
          <w:u w:val="none"/>
          <w:lang w:val="en-US" w:eastAsia="zh-CN"/>
        </w:rPr>
        <w:t>热电偶用补偿导线与</w:t>
      </w:r>
      <w:r>
        <w:rPr>
          <w:rFonts w:hint="eastAsia" w:ascii="Times New Roman Regular" w:hAnsi="Times New Roman Regular" w:eastAsia="宋体" w:cs="Times New Roman Regular"/>
          <w:spacing w:val="-1"/>
          <w:sz w:val="21"/>
          <w:szCs w:val="21"/>
          <w:lang w:val="en-US" w:eastAsia="zh-CN"/>
        </w:rPr>
        <w:t>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722841998"/>
      <w:bookmarkStart w:id="161" w:name="_Toc15193021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9228EF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2951.11  </w:t>
      </w:r>
      <w:r>
        <w:rPr>
          <w:rFonts w:hint="default" w:ascii="Times New Roman" w:hAnsi="Times New Roman" w:eastAsia="宋体" w:cs="Times New Roman"/>
          <w:b w:val="0"/>
          <w:bCs w:val="0"/>
          <w:color w:val="auto"/>
          <w:kern w:val="0"/>
          <w:sz w:val="21"/>
          <w:szCs w:val="21"/>
          <w:highlight w:val="none"/>
          <w:lang w:val="en-US" w:eastAsia="zh-CN"/>
        </w:rPr>
        <w:t>电缆和光缆绝缘和护套材料通用试验方法  第11部分：通用试验方法</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厚度和外形尺寸测量</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机械性能试验</w:t>
      </w:r>
    </w:p>
    <w:p w14:paraId="0960802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2951.12  </w:t>
      </w:r>
      <w:r>
        <w:rPr>
          <w:rFonts w:hint="default" w:ascii="Times New Roman" w:hAnsi="Times New Roman" w:eastAsia="宋体" w:cs="Times New Roman"/>
          <w:b w:val="0"/>
          <w:bCs w:val="0"/>
          <w:color w:val="auto"/>
          <w:kern w:val="0"/>
          <w:sz w:val="21"/>
          <w:szCs w:val="21"/>
          <w:highlight w:val="none"/>
          <w:lang w:val="en-US" w:eastAsia="zh-CN"/>
        </w:rPr>
        <w:t>电缆和光缆绝缘和护套材料通用试验方法  第12部分：通用试验方法</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热老化试验方</w:t>
      </w:r>
      <w:r>
        <w:rPr>
          <w:rFonts w:hint="eastAsia" w:ascii="Times New Roman" w:hAnsi="Times New Roman" w:eastAsia="宋体" w:cs="Times New Roman"/>
          <w:b w:val="0"/>
          <w:bCs w:val="0"/>
          <w:color w:val="auto"/>
          <w:kern w:val="0"/>
          <w:sz w:val="21"/>
          <w:szCs w:val="21"/>
          <w:highlight w:val="none"/>
          <w:lang w:val="en-US" w:eastAsia="zh-CN"/>
        </w:rPr>
        <w:t>法</w:t>
      </w:r>
    </w:p>
    <w:p w14:paraId="242EC1E1">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3048.5  </w:t>
      </w:r>
      <w:r>
        <w:rPr>
          <w:rFonts w:hint="default" w:ascii="Times New Roman" w:hAnsi="Times New Roman" w:eastAsia="宋体" w:cs="Times New Roman"/>
          <w:b w:val="0"/>
          <w:bCs w:val="0"/>
          <w:color w:val="auto"/>
          <w:kern w:val="0"/>
          <w:sz w:val="21"/>
          <w:szCs w:val="21"/>
          <w:highlight w:val="none"/>
          <w:lang w:val="en-US" w:eastAsia="zh-CN"/>
        </w:rPr>
        <w:t>电线电缆电性能试验方法  第5部分：绝缘电阻试验</w:t>
      </w:r>
    </w:p>
    <w:p w14:paraId="19AD402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3048.8  </w:t>
      </w:r>
      <w:r>
        <w:rPr>
          <w:rFonts w:hint="default" w:ascii="Times New Roman" w:hAnsi="Times New Roman" w:eastAsia="宋体" w:cs="Times New Roman"/>
          <w:b w:val="0"/>
          <w:bCs w:val="0"/>
          <w:color w:val="auto"/>
          <w:kern w:val="0"/>
          <w:sz w:val="21"/>
          <w:szCs w:val="21"/>
          <w:highlight w:val="none"/>
          <w:lang w:val="en-US" w:eastAsia="zh-CN"/>
        </w:rPr>
        <w:t>电线电缆电性能试验方法  第</w:t>
      </w:r>
      <w:r>
        <w:rPr>
          <w:rFonts w:hint="eastAsia" w:ascii="Times New Roman" w:hAnsi="Times New Roman" w:eastAsia="宋体" w:cs="Times New Roman"/>
          <w:b w:val="0"/>
          <w:bCs w:val="0"/>
          <w:color w:val="auto"/>
          <w:kern w:val="0"/>
          <w:sz w:val="21"/>
          <w:szCs w:val="21"/>
          <w:highlight w:val="none"/>
          <w:lang w:val="en-US" w:eastAsia="zh-CN"/>
        </w:rPr>
        <w:t>8</w:t>
      </w:r>
      <w:r>
        <w:rPr>
          <w:rFonts w:hint="default" w:ascii="Times New Roman" w:hAnsi="Times New Roman" w:eastAsia="宋体" w:cs="Times New Roman"/>
          <w:b w:val="0"/>
          <w:bCs w:val="0"/>
          <w:color w:val="auto"/>
          <w:kern w:val="0"/>
          <w:sz w:val="21"/>
          <w:szCs w:val="21"/>
          <w:highlight w:val="none"/>
          <w:lang w:val="en-US" w:eastAsia="zh-CN"/>
        </w:rPr>
        <w:t>部分：</w:t>
      </w:r>
      <w:r>
        <w:rPr>
          <w:rFonts w:hint="eastAsia" w:ascii="Times New Roman" w:hAnsi="Times New Roman" w:eastAsia="宋体" w:cs="Times New Roman"/>
          <w:b w:val="0"/>
          <w:bCs w:val="0"/>
          <w:color w:val="auto"/>
          <w:kern w:val="0"/>
          <w:sz w:val="21"/>
          <w:szCs w:val="21"/>
          <w:highlight w:val="none"/>
          <w:lang w:val="en-US" w:eastAsia="zh-CN"/>
        </w:rPr>
        <w:t>交流电压试验</w:t>
      </w:r>
    </w:p>
    <w:p w14:paraId="7F3276A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3048.9  </w:t>
      </w:r>
      <w:r>
        <w:rPr>
          <w:rFonts w:hint="default" w:ascii="Times New Roman" w:hAnsi="Times New Roman" w:eastAsia="宋体" w:cs="Times New Roman"/>
          <w:b w:val="0"/>
          <w:bCs w:val="0"/>
          <w:color w:val="auto"/>
          <w:kern w:val="0"/>
          <w:sz w:val="21"/>
          <w:szCs w:val="21"/>
          <w:highlight w:val="none"/>
          <w:lang w:val="en-US" w:eastAsia="zh-CN"/>
        </w:rPr>
        <w:t>电线电缆电性能试验方法  第9部分：绝缘线芯火花试验</w:t>
      </w:r>
    </w:p>
    <w:p w14:paraId="4CE9E48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GB/T 4989  热电偶用补偿导线</w:t>
      </w:r>
    </w:p>
    <w:p w14:paraId="1E0948C5">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GB/T 4990  热电偶用补偿导线合金丝</w:t>
      </w:r>
    </w:p>
    <w:p w14:paraId="0E90426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6995.1  </w:t>
      </w:r>
      <w:r>
        <w:rPr>
          <w:rFonts w:hint="default" w:ascii="Times New Roman" w:hAnsi="Times New Roman" w:eastAsia="宋体" w:cs="Times New Roman"/>
          <w:b w:val="0"/>
          <w:bCs w:val="0"/>
          <w:color w:val="auto"/>
          <w:kern w:val="0"/>
          <w:sz w:val="21"/>
          <w:szCs w:val="21"/>
          <w:highlight w:val="none"/>
          <w:lang w:val="en-US" w:eastAsia="zh-CN"/>
        </w:rPr>
        <w:t>电线电缆识别标志方法  第</w:t>
      </w:r>
      <w:r>
        <w:rPr>
          <w:rFonts w:hint="eastAsia" w:ascii="Times New Roman" w:hAnsi="Times New Roman" w:eastAsia="宋体" w:cs="Times New Roman"/>
          <w:b w:val="0"/>
          <w:bCs w:val="0"/>
          <w:color w:val="auto"/>
          <w:kern w:val="0"/>
          <w:sz w:val="21"/>
          <w:szCs w:val="21"/>
          <w:highlight w:val="none"/>
          <w:lang w:val="en-US" w:eastAsia="zh-CN"/>
        </w:rPr>
        <w:t>1</w:t>
      </w:r>
      <w:r>
        <w:rPr>
          <w:rFonts w:hint="default" w:ascii="Times New Roman" w:hAnsi="Times New Roman" w:eastAsia="宋体" w:cs="Times New Roman"/>
          <w:b w:val="0"/>
          <w:bCs w:val="0"/>
          <w:color w:val="auto"/>
          <w:kern w:val="0"/>
          <w:sz w:val="21"/>
          <w:szCs w:val="21"/>
          <w:highlight w:val="none"/>
          <w:lang w:val="en-US" w:eastAsia="zh-CN"/>
        </w:rPr>
        <w:t>部分：</w:t>
      </w:r>
      <w:r>
        <w:rPr>
          <w:rFonts w:hint="eastAsia" w:ascii="Times New Roman" w:hAnsi="Times New Roman" w:eastAsia="宋体" w:cs="Times New Roman"/>
          <w:b w:val="0"/>
          <w:bCs w:val="0"/>
          <w:color w:val="auto"/>
          <w:kern w:val="0"/>
          <w:sz w:val="21"/>
          <w:szCs w:val="21"/>
          <w:highlight w:val="none"/>
          <w:lang w:val="en-US" w:eastAsia="zh-CN"/>
        </w:rPr>
        <w:t>一般规定</w:t>
      </w:r>
    </w:p>
    <w:p w14:paraId="024129F7">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GB/T 8815  电线电缆用软聚氯乙烯塑料</w:t>
      </w:r>
    </w:p>
    <w:p w14:paraId="5500646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GB/T 12666  单根电线电缆燃烧试验方法</w:t>
      </w:r>
    </w:p>
    <w:p w14:paraId="63EDA16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w:t>
      </w:r>
      <w:r>
        <w:rPr>
          <w:rFonts w:hint="eastAsia" w:ascii="Times New Roman Regular" w:hAnsi="Times New Roman Regular" w:eastAsia="宋体" w:cs="Times New Roman Regular"/>
          <w:b w:val="0"/>
          <w:bCs w:val="0"/>
          <w:kern w:val="0"/>
          <w:sz w:val="21"/>
          <w:szCs w:val="21"/>
          <w:lang w:val="en-US" w:eastAsia="zh-CN"/>
        </w:rPr>
        <w:t xml:space="preserve"> 7495  热电偶用补偿电缆</w:t>
      </w:r>
    </w:p>
    <w:p w14:paraId="579E426A">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 8137</w:t>
      </w:r>
      <w:r>
        <w:rPr>
          <w:rFonts w:hint="eastAsia" w:ascii="Times New Roman Regular" w:hAnsi="Times New Roman Regular" w:eastAsia="宋体" w:cs="Times New Roman Regular"/>
          <w:b w:val="0"/>
          <w:bCs w:val="0"/>
          <w:kern w:val="0"/>
          <w:sz w:val="21"/>
          <w:szCs w:val="21"/>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电线电缆交货盘</w:t>
      </w:r>
    </w:p>
    <w:p w14:paraId="4EA30435">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w:t>
      </w:r>
      <w:r>
        <w:rPr>
          <w:rFonts w:hint="eastAsia" w:ascii="Times New Roman Regular" w:hAnsi="Times New Roman Regular" w:eastAsia="宋体" w:cs="Times New Roman Regular"/>
          <w:b w:val="0"/>
          <w:bCs w:val="0"/>
          <w:kern w:val="0"/>
          <w:sz w:val="21"/>
          <w:szCs w:val="21"/>
          <w:lang w:val="en-US" w:eastAsia="zh-CN"/>
        </w:rPr>
        <w:t xml:space="preserve"> 10696.3  电线电缆机械和理化性能试验方法  第3部分：弯曲试验</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404"/>
      <w:bookmarkStart w:id="163" w:name="_Toc11509"/>
      <w:bookmarkStart w:id="164" w:name="_Toc133117643"/>
      <w:bookmarkStart w:id="165" w:name="_Toc19273"/>
      <w:bookmarkStart w:id="166" w:name="_Toc4210"/>
      <w:bookmarkStart w:id="167" w:name="_Toc490469307"/>
      <w:bookmarkStart w:id="168" w:name="_Toc21510"/>
      <w:bookmarkStart w:id="169" w:name="_Toc19178"/>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275405563"/>
      <w:bookmarkStart w:id="171" w:name="_Toc1777749374"/>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提出了热电偶用补偿导线与电缆采购需求制定的一般规定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10399"/>
      <w:bookmarkStart w:id="173" w:name="_Toc1707016634"/>
      <w:bookmarkStart w:id="174" w:name="_Toc22338"/>
      <w:bookmarkStart w:id="175" w:name="_Toc20142"/>
      <w:bookmarkStart w:id="176" w:name="_Toc15238"/>
      <w:bookmarkStart w:id="177" w:name="_Toc693748107"/>
      <w:bookmarkStart w:id="178" w:name="_Toc3275"/>
      <w:bookmarkStart w:id="179" w:name="_Toc22597"/>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热电偶用补偿导线与</w:t>
      </w:r>
      <w:r>
        <w:rPr>
          <w:rFonts w:hint="eastAsia" w:ascii="Times New Roman Regular" w:hAnsi="Times New Roman Regular" w:eastAsia="宋体" w:cs="Times New Roman Regular"/>
          <w:sz w:val="21"/>
          <w:szCs w:val="21"/>
          <w:lang w:val="en-US" w:eastAsia="zh-CN"/>
        </w:rPr>
        <w:t>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135714786"/>
      <w:bookmarkStart w:id="181" w:name="_Toc1594527365"/>
      <w:bookmarkStart w:id="182" w:name="_Toc12972"/>
      <w:bookmarkStart w:id="183" w:name="_Toc17576"/>
      <w:bookmarkStart w:id="184" w:name="_Toc14889"/>
      <w:bookmarkStart w:id="185" w:name="_Toc23278"/>
      <w:bookmarkStart w:id="186" w:name="_Toc15538"/>
      <w:bookmarkStart w:id="187" w:name="_Toc32224"/>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28483"/>
      <w:bookmarkStart w:id="189" w:name="_Toc21998"/>
      <w:bookmarkStart w:id="190" w:name="_Toc28244"/>
      <w:bookmarkStart w:id="191" w:name="_Toc2387"/>
      <w:bookmarkStart w:id="192" w:name="_Toc6175"/>
      <w:bookmarkStart w:id="193" w:name="_Toc772992642"/>
      <w:bookmarkStart w:id="194" w:name="_Toc1123753766"/>
      <w:bookmarkStart w:id="195" w:name="_Toc159"/>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958353444"/>
      <w:bookmarkStart w:id="197" w:name="_Toc1558753391"/>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31550"/>
      <w:bookmarkStart w:id="204" w:name="_Toc1376651796"/>
      <w:bookmarkStart w:id="205" w:name="_Toc5932"/>
      <w:bookmarkStart w:id="206" w:name="_Toc21551"/>
      <w:bookmarkStart w:id="207" w:name="_Toc17639"/>
      <w:bookmarkStart w:id="208" w:name="_Toc23786"/>
      <w:bookmarkStart w:id="209" w:name="_Toc14213"/>
      <w:bookmarkStart w:id="210" w:name="_Toc2107"/>
      <w:bookmarkStart w:id="211" w:name="_Toc4353"/>
      <w:bookmarkStart w:id="212" w:name="_Toc220"/>
      <w:bookmarkStart w:id="213" w:name="_Toc30636"/>
      <w:bookmarkStart w:id="214" w:name="_Toc385498374"/>
      <w:bookmarkStart w:id="215" w:name="_Toc25375"/>
      <w:bookmarkStart w:id="216" w:name="_Toc31065"/>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4678"/>
      <w:bookmarkStart w:id="218" w:name="_Toc8894"/>
      <w:bookmarkStart w:id="219" w:name="_Toc24438"/>
      <w:bookmarkStart w:id="220" w:name="_Toc113008819"/>
      <w:bookmarkStart w:id="221" w:name="_Toc23317"/>
      <w:bookmarkStart w:id="222" w:name="_Toc14748"/>
      <w:bookmarkStart w:id="223" w:name="_Toc20007"/>
      <w:bookmarkStart w:id="224" w:name="_Toc9147"/>
      <w:bookmarkStart w:id="225" w:name="_Toc16446"/>
      <w:bookmarkStart w:id="226" w:name="_Toc24824"/>
      <w:bookmarkStart w:id="227" w:name="_Toc15080"/>
      <w:bookmarkStart w:id="228" w:name="_Toc30374"/>
      <w:bookmarkStart w:id="229" w:name="_Toc26432"/>
      <w:bookmarkStart w:id="230" w:name="_Toc397922594"/>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29139"/>
      <w:bookmarkStart w:id="232" w:name="_Toc620960600"/>
      <w:bookmarkStart w:id="233" w:name="_Toc15132"/>
      <w:bookmarkStart w:id="234" w:name="_Toc4728"/>
      <w:bookmarkStart w:id="235" w:name="_Toc26590"/>
      <w:bookmarkStart w:id="236" w:name="_Toc14320"/>
      <w:bookmarkStart w:id="237" w:name="_Toc21166"/>
      <w:bookmarkStart w:id="238" w:name="_Toc394"/>
      <w:bookmarkStart w:id="239" w:name="_Toc636"/>
      <w:bookmarkStart w:id="240" w:name="_Toc30979"/>
      <w:bookmarkStart w:id="241" w:name="_Toc21425"/>
      <w:bookmarkStart w:id="242" w:name="_Toc963676985"/>
      <w:bookmarkStart w:id="243" w:name="_Toc32756"/>
      <w:bookmarkStart w:id="244" w:name="_Toc21972"/>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8F6ADCA">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本标准按 GB/T 1.1—2020《标准化工作导则第1部分：标准化文件的结构和起草规则》给出的规则编制。</w:t>
      </w:r>
    </w:p>
    <w:p w14:paraId="05067CE2">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本标准具体条款涉及的国家标准或直接引用，或参照原则，无原则分歧。</w:t>
      </w:r>
    </w:p>
    <w:p w14:paraId="07BD8134">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w:t>
      </w:r>
      <w:r>
        <w:rPr>
          <w:rFonts w:hint="eastAsia" w:ascii="Times New Roman Regular" w:hAnsi="Times New Roman Regular" w:eastAsia="宋体" w:cs="Times New Roman Regular"/>
          <w:b w:val="0"/>
          <w:bCs w:val="0"/>
          <w:sz w:val="21"/>
          <w:szCs w:val="21"/>
          <w:lang w:val="en-US" w:eastAsia="zh-CN"/>
        </w:rPr>
        <w:t>与</w:t>
      </w:r>
      <w:r>
        <w:rPr>
          <w:rFonts w:hint="default" w:ascii="Times New Roman Regular" w:hAnsi="Times New Roman Regular" w:eastAsia="宋体" w:cs="Times New Roman Regular"/>
          <w:b w:val="0"/>
          <w:bCs w:val="0"/>
          <w:sz w:val="21"/>
          <w:szCs w:val="21"/>
          <w:lang w:val="en-US" w:eastAsia="zh-CN"/>
        </w:rPr>
        <w:t>国家标准、行业标准及</w:t>
      </w:r>
      <w:r>
        <w:rPr>
          <w:rFonts w:hint="eastAsia" w:ascii="Times New Roman Regular" w:hAnsi="Times New Roman Regular" w:eastAsia="宋体" w:cs="Times New Roman Regular"/>
          <w:b w:val="0"/>
          <w:bCs w:val="0"/>
          <w:sz w:val="21"/>
          <w:szCs w:val="21"/>
          <w:lang w:val="en-US" w:eastAsia="zh-CN"/>
        </w:rPr>
        <w:t>现行法律法规</w:t>
      </w:r>
      <w:r>
        <w:rPr>
          <w:rFonts w:hint="default" w:ascii="Times New Roman Regular" w:hAnsi="Times New Roman Regular" w:eastAsia="宋体" w:cs="Times New Roman Regular"/>
          <w:b w:val="0"/>
          <w:bCs w:val="0"/>
          <w:sz w:val="21"/>
          <w:szCs w:val="21"/>
          <w:lang w:val="en-US" w:eastAsia="zh-CN"/>
        </w:rPr>
        <w:t>协调一致，没有矛盾。</w:t>
      </w:r>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EF6F7C"/>
    <w:rsid w:val="27FB32F3"/>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675306"/>
    <w:rsid w:val="2B703976"/>
    <w:rsid w:val="2B732DA8"/>
    <w:rsid w:val="2B779685"/>
    <w:rsid w:val="2BA61037"/>
    <w:rsid w:val="2BD66AC4"/>
    <w:rsid w:val="2BFB29B5"/>
    <w:rsid w:val="2C072F7D"/>
    <w:rsid w:val="2C0803CD"/>
    <w:rsid w:val="2C76BB6A"/>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2FE48"/>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DBA12"/>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B555C6"/>
    <w:rsid w:val="3BBFFBB1"/>
    <w:rsid w:val="3BDE9154"/>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7D50C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E4320"/>
    <w:rsid w:val="3F7EA949"/>
    <w:rsid w:val="3F939827"/>
    <w:rsid w:val="3FBEBA51"/>
    <w:rsid w:val="3FC810AC"/>
    <w:rsid w:val="3FDEC9F5"/>
    <w:rsid w:val="3FDF4418"/>
    <w:rsid w:val="3FDFA922"/>
    <w:rsid w:val="3FEBA76A"/>
    <w:rsid w:val="3FEC482B"/>
    <w:rsid w:val="3FED5323"/>
    <w:rsid w:val="3FEF4261"/>
    <w:rsid w:val="3FF8E492"/>
    <w:rsid w:val="3FFB8801"/>
    <w:rsid w:val="3FFF0893"/>
    <w:rsid w:val="3FFF3E0E"/>
    <w:rsid w:val="3FFF5E3A"/>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EDBA7B"/>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7F56CB"/>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AC409"/>
    <w:rsid w:val="4E1402DE"/>
    <w:rsid w:val="4E4C73A3"/>
    <w:rsid w:val="4E641F1A"/>
    <w:rsid w:val="4E6F3F3D"/>
    <w:rsid w:val="4ECF1271"/>
    <w:rsid w:val="4ED25E5C"/>
    <w:rsid w:val="4EDA5AAA"/>
    <w:rsid w:val="4EF86CC0"/>
    <w:rsid w:val="4EF94AC3"/>
    <w:rsid w:val="4F1639D2"/>
    <w:rsid w:val="4F3C4B90"/>
    <w:rsid w:val="4F936CC6"/>
    <w:rsid w:val="4F9735BA"/>
    <w:rsid w:val="4F9A62A6"/>
    <w:rsid w:val="4F9F1B0F"/>
    <w:rsid w:val="4FB749F0"/>
    <w:rsid w:val="4FB8497E"/>
    <w:rsid w:val="4FBFC979"/>
    <w:rsid w:val="4FC71561"/>
    <w:rsid w:val="4FD73056"/>
    <w:rsid w:val="4FDC17DF"/>
    <w:rsid w:val="4FE4461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8E48CC6"/>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B33135D"/>
    <w:rsid w:val="5B5B0B94"/>
    <w:rsid w:val="5B7EE6A5"/>
    <w:rsid w:val="5B9BFEAE"/>
    <w:rsid w:val="5BA83A36"/>
    <w:rsid w:val="5BDCAF1C"/>
    <w:rsid w:val="5BDE39BF"/>
    <w:rsid w:val="5BE90261"/>
    <w:rsid w:val="5BED529B"/>
    <w:rsid w:val="5BFE501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7B1CE"/>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550324"/>
    <w:rsid w:val="636522D0"/>
    <w:rsid w:val="637F1B58"/>
    <w:rsid w:val="63C92321"/>
    <w:rsid w:val="63D79BBA"/>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E289A"/>
    <w:rsid w:val="65FFFD79"/>
    <w:rsid w:val="66267257"/>
    <w:rsid w:val="663F14FE"/>
    <w:rsid w:val="66937CE1"/>
    <w:rsid w:val="66B21CD0"/>
    <w:rsid w:val="66EA100C"/>
    <w:rsid w:val="66F14577"/>
    <w:rsid w:val="66FE1CE5"/>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9FB520"/>
    <w:rsid w:val="6DA87988"/>
    <w:rsid w:val="6DB1683D"/>
    <w:rsid w:val="6DCB3A6F"/>
    <w:rsid w:val="6DD24A05"/>
    <w:rsid w:val="6DDF392B"/>
    <w:rsid w:val="6DE37CA5"/>
    <w:rsid w:val="6DEE0AAA"/>
    <w:rsid w:val="6DFF6DF1"/>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5BF5"/>
    <w:rsid w:val="6FFBDA12"/>
    <w:rsid w:val="6FFEBE04"/>
    <w:rsid w:val="6FFEFE37"/>
    <w:rsid w:val="6FFF1443"/>
    <w:rsid w:val="6FFF4C4B"/>
    <w:rsid w:val="6FFF54C9"/>
    <w:rsid w:val="6FFF59E6"/>
    <w:rsid w:val="6FFF68E3"/>
    <w:rsid w:val="6FFF69CA"/>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EE54E6"/>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6BB66B"/>
    <w:rsid w:val="76731453"/>
    <w:rsid w:val="767F0A1D"/>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BB52AE"/>
    <w:rsid w:val="77D3CC90"/>
    <w:rsid w:val="77D7E741"/>
    <w:rsid w:val="77DB7435"/>
    <w:rsid w:val="77DE11DF"/>
    <w:rsid w:val="77DF1A28"/>
    <w:rsid w:val="77E3682C"/>
    <w:rsid w:val="77E61B9A"/>
    <w:rsid w:val="77E7888E"/>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77F169"/>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CDD7FA"/>
    <w:rsid w:val="7CDDA675"/>
    <w:rsid w:val="7CE64038"/>
    <w:rsid w:val="7CFBABE1"/>
    <w:rsid w:val="7CFF36D2"/>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DD24F"/>
    <w:rsid w:val="7DEF0220"/>
    <w:rsid w:val="7DEF36B3"/>
    <w:rsid w:val="7DEF8696"/>
    <w:rsid w:val="7DF65156"/>
    <w:rsid w:val="7DF75037"/>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ADCFB4"/>
    <w:rsid w:val="7EB47804"/>
    <w:rsid w:val="7EBFC53E"/>
    <w:rsid w:val="7EBFE781"/>
    <w:rsid w:val="7EEBB9D1"/>
    <w:rsid w:val="7EED7BA4"/>
    <w:rsid w:val="7EEF2D23"/>
    <w:rsid w:val="7EF2A807"/>
    <w:rsid w:val="7EF5E173"/>
    <w:rsid w:val="7EF72FD8"/>
    <w:rsid w:val="7EFB5A3D"/>
    <w:rsid w:val="7EFD06E6"/>
    <w:rsid w:val="7EFD37E0"/>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7514"/>
    <w:rsid w:val="7F5FE1C7"/>
    <w:rsid w:val="7F6D340D"/>
    <w:rsid w:val="7F6F9CEC"/>
    <w:rsid w:val="7F7459D7"/>
    <w:rsid w:val="7F770DF9"/>
    <w:rsid w:val="7F777AEF"/>
    <w:rsid w:val="7F79D970"/>
    <w:rsid w:val="7F7B4779"/>
    <w:rsid w:val="7F7BACDF"/>
    <w:rsid w:val="7F7D7468"/>
    <w:rsid w:val="7F7D9FA9"/>
    <w:rsid w:val="7F7E87B5"/>
    <w:rsid w:val="7F8C3055"/>
    <w:rsid w:val="7F8D0AD4"/>
    <w:rsid w:val="7F8F03DC"/>
    <w:rsid w:val="7F8F8B25"/>
    <w:rsid w:val="7F934ABA"/>
    <w:rsid w:val="7F9B3D14"/>
    <w:rsid w:val="7F9C88F3"/>
    <w:rsid w:val="7FA676E6"/>
    <w:rsid w:val="7FB15A44"/>
    <w:rsid w:val="7FB76D62"/>
    <w:rsid w:val="7FB9729D"/>
    <w:rsid w:val="7FBB7F85"/>
    <w:rsid w:val="7FBD1EB6"/>
    <w:rsid w:val="7FBD3EA7"/>
    <w:rsid w:val="7FBD5266"/>
    <w:rsid w:val="7FBD64BF"/>
    <w:rsid w:val="7FBF053F"/>
    <w:rsid w:val="7FC85B26"/>
    <w:rsid w:val="7FD86C38"/>
    <w:rsid w:val="7FDBE955"/>
    <w:rsid w:val="7FDF949B"/>
    <w:rsid w:val="7FE5E8DE"/>
    <w:rsid w:val="7FE79DB1"/>
    <w:rsid w:val="7FED5A09"/>
    <w:rsid w:val="7FEE4542"/>
    <w:rsid w:val="7FEEBCB5"/>
    <w:rsid w:val="7FEF5013"/>
    <w:rsid w:val="7FEF899F"/>
    <w:rsid w:val="7FEFEF86"/>
    <w:rsid w:val="7FFA5DE4"/>
    <w:rsid w:val="7FFAE971"/>
    <w:rsid w:val="7FFB0362"/>
    <w:rsid w:val="7FFB6187"/>
    <w:rsid w:val="7FFB7B18"/>
    <w:rsid w:val="7FFB84E2"/>
    <w:rsid w:val="7FFC1573"/>
    <w:rsid w:val="7FFC7A39"/>
    <w:rsid w:val="7FFD5E59"/>
    <w:rsid w:val="7FFE05A0"/>
    <w:rsid w:val="7FFE92F4"/>
    <w:rsid w:val="7FFF1371"/>
    <w:rsid w:val="7FFF4D2B"/>
    <w:rsid w:val="7FFF65CF"/>
    <w:rsid w:val="7FFF709D"/>
    <w:rsid w:val="7FFF9CD5"/>
    <w:rsid w:val="7FFFCEAE"/>
    <w:rsid w:val="86D3552F"/>
    <w:rsid w:val="8BDD93D1"/>
    <w:rsid w:val="8DB65A59"/>
    <w:rsid w:val="8F6CFB7C"/>
    <w:rsid w:val="925C0A6D"/>
    <w:rsid w:val="93FC336E"/>
    <w:rsid w:val="96FEDFE6"/>
    <w:rsid w:val="97BED3A7"/>
    <w:rsid w:val="97FA81FF"/>
    <w:rsid w:val="9AFD9E19"/>
    <w:rsid w:val="9BBFC5CB"/>
    <w:rsid w:val="9BFFE5BC"/>
    <w:rsid w:val="9CFF813C"/>
    <w:rsid w:val="9E5F2DB8"/>
    <w:rsid w:val="9E7B56BD"/>
    <w:rsid w:val="9E7ED74B"/>
    <w:rsid w:val="9F1EE70B"/>
    <w:rsid w:val="9F55EB28"/>
    <w:rsid w:val="9F5CB341"/>
    <w:rsid w:val="9F672A5A"/>
    <w:rsid w:val="9F6B1BB7"/>
    <w:rsid w:val="9F7B2CDA"/>
    <w:rsid w:val="9FAF9A56"/>
    <w:rsid w:val="9FF7B02A"/>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1CAF052"/>
    <w:rsid w:val="B3E9C594"/>
    <w:rsid w:val="B47EFD21"/>
    <w:rsid w:val="B5773F58"/>
    <w:rsid w:val="B5E46B39"/>
    <w:rsid w:val="B5FF12BB"/>
    <w:rsid w:val="B67D3318"/>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71FC0"/>
    <w:rsid w:val="BBB87D5D"/>
    <w:rsid w:val="BBE701E2"/>
    <w:rsid w:val="BBEB4B1E"/>
    <w:rsid w:val="BBEF213A"/>
    <w:rsid w:val="BBFF51C6"/>
    <w:rsid w:val="BC676F5A"/>
    <w:rsid w:val="BCDB7B19"/>
    <w:rsid w:val="BCE793E5"/>
    <w:rsid w:val="BDE480B0"/>
    <w:rsid w:val="BDEEFF8A"/>
    <w:rsid w:val="BDEFACE4"/>
    <w:rsid w:val="BDF396CA"/>
    <w:rsid w:val="BDFDDD4F"/>
    <w:rsid w:val="BDFEE0F3"/>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7F8C3"/>
    <w:rsid w:val="D7FDC320"/>
    <w:rsid w:val="D7FF200B"/>
    <w:rsid w:val="D8C7C1ED"/>
    <w:rsid w:val="D8DFDAC0"/>
    <w:rsid w:val="D9F5FBB2"/>
    <w:rsid w:val="DA5E621D"/>
    <w:rsid w:val="DAF7322E"/>
    <w:rsid w:val="DAFF7C4C"/>
    <w:rsid w:val="DB73B31B"/>
    <w:rsid w:val="DB7F606A"/>
    <w:rsid w:val="DBB722C7"/>
    <w:rsid w:val="DBDD86E3"/>
    <w:rsid w:val="DBFD11D0"/>
    <w:rsid w:val="DBFF05A2"/>
    <w:rsid w:val="DCDFE90F"/>
    <w:rsid w:val="DCE4604E"/>
    <w:rsid w:val="DCF65432"/>
    <w:rsid w:val="DCFE3A9F"/>
    <w:rsid w:val="DD5DC3AE"/>
    <w:rsid w:val="DD7D2355"/>
    <w:rsid w:val="DDB934B3"/>
    <w:rsid w:val="DDBFEA55"/>
    <w:rsid w:val="DDDFA60C"/>
    <w:rsid w:val="DDF6F6FA"/>
    <w:rsid w:val="DDFC8A8A"/>
    <w:rsid w:val="DE04430C"/>
    <w:rsid w:val="DE8E43AB"/>
    <w:rsid w:val="DEBD1B81"/>
    <w:rsid w:val="DEBF4786"/>
    <w:rsid w:val="DEBF59F0"/>
    <w:rsid w:val="DEDBCC2D"/>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D0A3"/>
    <w:rsid w:val="DFF32F4E"/>
    <w:rsid w:val="DFFC4362"/>
    <w:rsid w:val="DFFF4EA3"/>
    <w:rsid w:val="DFFFA889"/>
    <w:rsid w:val="E1AB68C7"/>
    <w:rsid w:val="E1BF7A10"/>
    <w:rsid w:val="E36E7F5C"/>
    <w:rsid w:val="E3C73C39"/>
    <w:rsid w:val="E3F753A2"/>
    <w:rsid w:val="E56AC93C"/>
    <w:rsid w:val="E5F19684"/>
    <w:rsid w:val="E5FF74C2"/>
    <w:rsid w:val="E6FF6C57"/>
    <w:rsid w:val="E74B075E"/>
    <w:rsid w:val="E7E56D6B"/>
    <w:rsid w:val="E9FB353B"/>
    <w:rsid w:val="EA3BE6E0"/>
    <w:rsid w:val="EB6E9BC2"/>
    <w:rsid w:val="EB786ED3"/>
    <w:rsid w:val="EBFAFC81"/>
    <w:rsid w:val="EC96D586"/>
    <w:rsid w:val="ECAE1E4D"/>
    <w:rsid w:val="EDBF327D"/>
    <w:rsid w:val="EDDD5AE6"/>
    <w:rsid w:val="EDF131FD"/>
    <w:rsid w:val="EDFAFFD7"/>
    <w:rsid w:val="EDFFE984"/>
    <w:rsid w:val="EE37B022"/>
    <w:rsid w:val="EED60C33"/>
    <w:rsid w:val="EEDF84D4"/>
    <w:rsid w:val="EEEBE97E"/>
    <w:rsid w:val="EEEF3DDA"/>
    <w:rsid w:val="EEF33A61"/>
    <w:rsid w:val="EEFF22B2"/>
    <w:rsid w:val="EEFF4D37"/>
    <w:rsid w:val="EF162DDC"/>
    <w:rsid w:val="EF2F4E69"/>
    <w:rsid w:val="EF5BEF0B"/>
    <w:rsid w:val="EF6648A2"/>
    <w:rsid w:val="EF733005"/>
    <w:rsid w:val="EF7354B7"/>
    <w:rsid w:val="EF778569"/>
    <w:rsid w:val="EFA6EEDC"/>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CED53D"/>
    <w:rsid w:val="F3EB02E8"/>
    <w:rsid w:val="F3EF082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2434"/>
    <w:rsid w:val="F7573EC7"/>
    <w:rsid w:val="F767CB56"/>
    <w:rsid w:val="F76940FA"/>
    <w:rsid w:val="F7763F7A"/>
    <w:rsid w:val="F797C129"/>
    <w:rsid w:val="F7BE5DBA"/>
    <w:rsid w:val="F7CB1692"/>
    <w:rsid w:val="F7D01C85"/>
    <w:rsid w:val="F7D713DA"/>
    <w:rsid w:val="F7D775EC"/>
    <w:rsid w:val="F7DFCD90"/>
    <w:rsid w:val="F7ED5CE4"/>
    <w:rsid w:val="F7EF7FE6"/>
    <w:rsid w:val="F7F7FC6F"/>
    <w:rsid w:val="F7FB6669"/>
    <w:rsid w:val="F7FD05AA"/>
    <w:rsid w:val="F7FDED42"/>
    <w:rsid w:val="F7FEBF76"/>
    <w:rsid w:val="F7FF3B38"/>
    <w:rsid w:val="F89B10DC"/>
    <w:rsid w:val="F8D6625F"/>
    <w:rsid w:val="F8F9602B"/>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DBCAFD"/>
    <w:rsid w:val="FBDC0979"/>
    <w:rsid w:val="FBDFE3CA"/>
    <w:rsid w:val="FBE61BDE"/>
    <w:rsid w:val="FBE6E602"/>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F1B4F"/>
    <w:rsid w:val="FCFF5F45"/>
    <w:rsid w:val="FD3BB76E"/>
    <w:rsid w:val="FD5E22C2"/>
    <w:rsid w:val="FD7A8411"/>
    <w:rsid w:val="FD7B5811"/>
    <w:rsid w:val="FD7DDCE4"/>
    <w:rsid w:val="FD7F4B6B"/>
    <w:rsid w:val="FDB5471A"/>
    <w:rsid w:val="FDB91431"/>
    <w:rsid w:val="FDBFA174"/>
    <w:rsid w:val="FDCDF1B9"/>
    <w:rsid w:val="FDDADD15"/>
    <w:rsid w:val="FDE9D5B3"/>
    <w:rsid w:val="FDEF3A59"/>
    <w:rsid w:val="FDF7B0FC"/>
    <w:rsid w:val="FDFB027B"/>
    <w:rsid w:val="FDFF1AE6"/>
    <w:rsid w:val="FE748EF9"/>
    <w:rsid w:val="FE7B4B80"/>
    <w:rsid w:val="FE7F64D4"/>
    <w:rsid w:val="FEAEDBE9"/>
    <w:rsid w:val="FEB9F20E"/>
    <w:rsid w:val="FEBC6153"/>
    <w:rsid w:val="FEBFB8FC"/>
    <w:rsid w:val="FEDF1856"/>
    <w:rsid w:val="FEF98B70"/>
    <w:rsid w:val="FEFB1DF0"/>
    <w:rsid w:val="FEFF9AD3"/>
    <w:rsid w:val="FEFFF7E5"/>
    <w:rsid w:val="FF0F9471"/>
    <w:rsid w:val="FF1A7D9C"/>
    <w:rsid w:val="FF1C81A6"/>
    <w:rsid w:val="FF1D16A2"/>
    <w:rsid w:val="FF2F338D"/>
    <w:rsid w:val="FF3F4108"/>
    <w:rsid w:val="FF468A7F"/>
    <w:rsid w:val="FF56871E"/>
    <w:rsid w:val="FF5B24BC"/>
    <w:rsid w:val="FF5DF018"/>
    <w:rsid w:val="FF6EA354"/>
    <w:rsid w:val="FF7B4457"/>
    <w:rsid w:val="FF7ECB67"/>
    <w:rsid w:val="FF7F2580"/>
    <w:rsid w:val="FF7F916E"/>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7D3F9"/>
    <w:rsid w:val="FFF7F3EE"/>
    <w:rsid w:val="FFFA02E0"/>
    <w:rsid w:val="FFFA170B"/>
    <w:rsid w:val="FFFB4D5B"/>
    <w:rsid w:val="FFFBE420"/>
    <w:rsid w:val="FFFC3425"/>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5574</Words>
  <Characters>5888</Characters>
  <Lines>1</Lines>
  <Paragraphs>1</Paragraphs>
  <TotalTime>0</TotalTime>
  <ScaleCrop>false</ScaleCrop>
  <LinksUpToDate>false</LinksUpToDate>
  <CharactersWithSpaces>6242</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2024-08-05T21:15:00Z</dcterms:created>
  <dc:creator>柏三创@物资云·贵宾客服</dc:creator>
  <cp:lastModifiedBy>蔡菜</cp:lastModifiedBy>
  <dcterms:modified xsi:type="dcterms:W3CDTF">2026-04-16T11:50:03Z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FC69952E9B9D3E33EB5AE0695854A17A_43</vt:lpwstr>
  </property>
  <property fmtid="{D5CDD505-2E9C-101B-9397-08002B2CF9AE}" pid="4" name="KSOTemplateDocerSaveRecord">
    <vt:lpwstr>eyJoZGlkIjoiMDAyMzk0Mjc5MWJmOWM2MjBiMzRjY2ZhNmE0NDA1YTAiLCJ1c2VySWQiOiIzNDU5ODMyMjcifQ==</vt:lpwstr>
  </property>
</Properties>
</file>