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B199">
      <w:pPr>
        <w:autoSpaceDE w:val="0"/>
        <w:autoSpaceDN w:val="0"/>
        <w:adjustRightInd w:val="0"/>
        <w:spacing w:line="360" w:lineRule="auto"/>
        <w:jc w:val="left"/>
        <w:outlineLvl w:val="9"/>
        <w:rPr>
          <w:rFonts w:hint="eastAsia" w:ascii="黑体" w:hAnsi="黑体" w:eastAsia="黑体"/>
          <w:sz w:val="32"/>
          <w:szCs w:val="32"/>
          <w:lang w:val="en-US" w:eastAsia="zh-CN"/>
        </w:rPr>
      </w:pPr>
      <w:bookmarkStart w:id="0" w:name="_Toc4591"/>
    </w:p>
    <w:p w14:paraId="3692F241">
      <w:pPr>
        <w:autoSpaceDE w:val="0"/>
        <w:autoSpaceDN w:val="0"/>
        <w:adjustRightInd w:val="0"/>
        <w:spacing w:line="360" w:lineRule="auto"/>
        <w:rPr>
          <w:rFonts w:ascii="Times New Roman" w:hAnsi="Times New Roman" w:eastAsia="黑体"/>
          <w:sz w:val="44"/>
          <w:szCs w:val="44"/>
          <w:lang w:val="zh-CN"/>
        </w:rPr>
      </w:pPr>
    </w:p>
    <w:p w14:paraId="2383D0EA">
      <w:pPr>
        <w:autoSpaceDE w:val="0"/>
        <w:autoSpaceDN w:val="0"/>
        <w:adjustRightInd w:val="0"/>
        <w:spacing w:line="720" w:lineRule="auto"/>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中国招标投标协会团体标准</w:t>
      </w:r>
    </w:p>
    <w:p w14:paraId="61D4AB47">
      <w:pPr>
        <w:autoSpaceDE w:val="0"/>
        <w:autoSpaceDN w:val="0"/>
        <w:adjustRightInd w:val="0"/>
        <w:spacing w:line="360" w:lineRule="auto"/>
        <w:jc w:val="center"/>
        <w:outlineLvl w:val="9"/>
        <w:rPr>
          <w:rFonts w:hint="eastAsia" w:ascii="黑体" w:hAnsi="黑体" w:eastAsia="黑体" w:cs="黑体"/>
          <w:b/>
          <w:bCs/>
          <w:w w:val="95"/>
          <w:sz w:val="52"/>
          <w:szCs w:val="52"/>
          <w:lang w:val="en-US" w:eastAsia="zh-CN"/>
        </w:rPr>
      </w:pPr>
      <w:r>
        <w:rPr>
          <w:rFonts w:hint="eastAsia" w:ascii="黑体" w:hAnsi="黑体" w:eastAsia="黑体" w:cs="黑体"/>
          <w:b/>
          <w:bCs/>
          <w:w w:val="95"/>
          <w:sz w:val="52"/>
          <w:szCs w:val="52"/>
          <w:lang w:val="zh-CN"/>
        </w:rPr>
        <w:t>发电企业电线电缆采购技术</w:t>
      </w:r>
      <w:r>
        <w:rPr>
          <w:rFonts w:hint="eastAsia" w:ascii="黑体" w:hAnsi="黑体" w:eastAsia="黑体" w:cs="黑体"/>
          <w:b/>
          <w:bCs/>
          <w:w w:val="95"/>
          <w:sz w:val="52"/>
          <w:szCs w:val="52"/>
          <w:lang w:val="en-US" w:eastAsia="zh-CN"/>
        </w:rPr>
        <w:t>规范</w:t>
      </w:r>
    </w:p>
    <w:p w14:paraId="75723511">
      <w:pPr>
        <w:autoSpaceDE w:val="0"/>
        <w:autoSpaceDN w:val="0"/>
        <w:adjustRightInd w:val="0"/>
        <w:spacing w:line="720" w:lineRule="auto"/>
        <w:jc w:val="center"/>
        <w:outlineLvl w:val="9"/>
        <w:rPr>
          <w:rFonts w:hint="eastAsia" w:ascii="黑体" w:hAnsi="黑体" w:eastAsia="黑体" w:cs="黑体"/>
          <w:w w:val="95"/>
          <w:sz w:val="44"/>
          <w:szCs w:val="44"/>
          <w:lang w:val="zh-CN"/>
        </w:rPr>
      </w:pPr>
      <w:r>
        <w:rPr>
          <w:rFonts w:hint="eastAsia" w:ascii="黑体" w:hAnsi="黑体" w:eastAsia="黑体" w:cs="黑体"/>
          <w:b w:val="0"/>
          <w:bCs w:val="0"/>
          <w:w w:val="100"/>
          <w:sz w:val="44"/>
          <w:szCs w:val="44"/>
          <w:lang w:val="en-US"/>
        </w:rPr>
        <w:t>第</w:t>
      </w:r>
      <w:r>
        <w:rPr>
          <w:rFonts w:hint="eastAsia" w:ascii="黑体" w:hAnsi="黑体" w:eastAsia="黑体" w:cs="黑体"/>
          <w:b w:val="0"/>
          <w:bCs w:val="0"/>
          <w:w w:val="100"/>
          <w:sz w:val="44"/>
          <w:szCs w:val="44"/>
          <w:lang w:val="en-US" w:eastAsia="zh-CN"/>
        </w:rPr>
        <w:t>8</w:t>
      </w:r>
      <w:r>
        <w:rPr>
          <w:rFonts w:hint="eastAsia" w:ascii="黑体" w:hAnsi="黑体" w:eastAsia="黑体" w:cs="黑体"/>
          <w:b w:val="0"/>
          <w:bCs w:val="0"/>
          <w:w w:val="100"/>
          <w:sz w:val="44"/>
          <w:szCs w:val="44"/>
          <w:lang w:val="en-US"/>
        </w:rPr>
        <w:t>部分：</w:t>
      </w:r>
      <w:r>
        <w:rPr>
          <w:rFonts w:hint="eastAsia" w:ascii="黑体" w:hAnsi="黑体" w:eastAsia="黑体" w:cs="黑体"/>
          <w:b w:val="0"/>
          <w:bCs w:val="0"/>
          <w:w w:val="100"/>
          <w:sz w:val="44"/>
          <w:szCs w:val="44"/>
          <w:lang w:val="en-US" w:eastAsia="zh-CN"/>
        </w:rPr>
        <w:t>计算机与仪表屏蔽</w:t>
      </w:r>
      <w:r>
        <w:rPr>
          <w:rFonts w:hint="eastAsia" w:ascii="黑体" w:hAnsi="黑体" w:eastAsia="黑体" w:cs="黑体"/>
          <w:b w:val="0"/>
          <w:bCs w:val="0"/>
          <w:w w:val="100"/>
          <w:sz w:val="44"/>
          <w:szCs w:val="44"/>
          <w:lang w:val="en-US"/>
        </w:rPr>
        <w:t>电缆</w:t>
      </w:r>
    </w:p>
    <w:p w14:paraId="4D30B250">
      <w:pPr>
        <w:autoSpaceDE w:val="0"/>
        <w:autoSpaceDN w:val="0"/>
        <w:adjustRightInd w:val="0"/>
        <w:spacing w:line="720" w:lineRule="auto"/>
        <w:jc w:val="center"/>
        <w:rPr>
          <w:rFonts w:hint="eastAsia" w:ascii="黑体" w:hAnsi="黑体" w:eastAsia="黑体" w:cs="黑体"/>
          <w:sz w:val="44"/>
          <w:szCs w:val="44"/>
          <w:lang w:val="en-US" w:eastAsia="zh-CN"/>
        </w:rPr>
      </w:pPr>
    </w:p>
    <w:p w14:paraId="03371BD9">
      <w:pPr>
        <w:autoSpaceDE w:val="0"/>
        <w:autoSpaceDN w:val="0"/>
        <w:adjustRightInd w:val="0"/>
        <w:spacing w:line="360" w:lineRule="auto"/>
        <w:jc w:val="center"/>
        <w:rPr>
          <w:rFonts w:hint="default" w:ascii="Times New Roman" w:hAnsi="Times New Roman" w:eastAsia="黑体"/>
          <w:sz w:val="44"/>
          <w:szCs w:val="44"/>
          <w:lang w:val="en-US" w:eastAsia="zh-CN"/>
        </w:rPr>
      </w:pPr>
    </w:p>
    <w:p w14:paraId="4EB69AD1">
      <w:pPr>
        <w:autoSpaceDE w:val="0"/>
        <w:autoSpaceDN w:val="0"/>
        <w:adjustRightInd w:val="0"/>
        <w:spacing w:line="360" w:lineRule="auto"/>
        <w:jc w:val="center"/>
        <w:rPr>
          <w:rFonts w:hint="default" w:ascii="Times New Roman" w:hAnsi="Times New Roman" w:eastAsia="黑体"/>
          <w:sz w:val="44"/>
          <w:szCs w:val="44"/>
          <w:lang w:val="en-US" w:eastAsia="zh-CN"/>
        </w:rPr>
      </w:pPr>
    </w:p>
    <w:p w14:paraId="0F161A88">
      <w:pPr>
        <w:autoSpaceDE w:val="0"/>
        <w:autoSpaceDN w:val="0"/>
        <w:adjustRightInd w:val="0"/>
        <w:spacing w:line="360" w:lineRule="auto"/>
        <w:jc w:val="center"/>
        <w:outlineLvl w:val="9"/>
        <w:rPr>
          <w:rFonts w:hint="eastAsia" w:ascii="黑体" w:hAnsi="黑体" w:eastAsia="黑体" w:cs="黑体"/>
          <w:b/>
          <w:bCs/>
          <w:sz w:val="52"/>
          <w:szCs w:val="52"/>
          <w:lang w:val="en-US"/>
        </w:rPr>
      </w:pPr>
      <w:r>
        <w:rPr>
          <w:rFonts w:hint="eastAsia" w:ascii="黑体" w:hAnsi="黑体" w:eastAsia="黑体" w:cs="黑体"/>
          <w:b/>
          <w:bCs/>
          <w:spacing w:val="173"/>
          <w:kern w:val="0"/>
          <w:sz w:val="52"/>
          <w:szCs w:val="52"/>
          <w:fitText w:val="3120" w:id="-243984201"/>
          <w:lang w:val="en-US"/>
        </w:rPr>
        <w:t>编制说</w:t>
      </w:r>
      <w:r>
        <w:rPr>
          <w:rFonts w:hint="eastAsia" w:ascii="黑体" w:hAnsi="黑体" w:eastAsia="黑体" w:cs="黑体"/>
          <w:b/>
          <w:bCs/>
          <w:spacing w:val="1"/>
          <w:kern w:val="0"/>
          <w:sz w:val="52"/>
          <w:szCs w:val="52"/>
          <w:fitText w:val="3120" w:id="-243984201"/>
          <w:lang w:val="en-US"/>
        </w:rPr>
        <w:t>明</w:t>
      </w:r>
    </w:p>
    <w:p w14:paraId="6FED8082">
      <w:pPr>
        <w:pStyle w:val="18"/>
        <w:spacing w:before="0" w:beforeAutospacing="0" w:after="0" w:afterAutospacing="0"/>
        <w:jc w:val="both"/>
        <w:textAlignment w:val="baseline"/>
        <w:rPr>
          <w:rFonts w:ascii="Times New Roman" w:hAnsi="Times New Roman" w:eastAsia="黑体" w:cs="Times New Roman"/>
          <w:bCs/>
          <w:kern w:val="24"/>
          <w:sz w:val="40"/>
          <w:szCs w:val="40"/>
        </w:rPr>
      </w:pPr>
    </w:p>
    <w:p w14:paraId="7E653C77">
      <w:pPr>
        <w:pStyle w:val="18"/>
        <w:spacing w:before="0" w:beforeAutospacing="0" w:after="0" w:afterAutospacing="0"/>
        <w:jc w:val="both"/>
        <w:textAlignment w:val="baseline"/>
        <w:rPr>
          <w:rFonts w:ascii="Times New Roman" w:hAnsi="Times New Roman" w:eastAsia="黑体" w:cs="Times New Roman"/>
          <w:b/>
          <w:bCs/>
          <w:kern w:val="24"/>
          <w:sz w:val="40"/>
          <w:szCs w:val="40"/>
        </w:rPr>
      </w:pPr>
    </w:p>
    <w:p w14:paraId="0CCD94C6">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D1270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03D2184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DF8FC49">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6479705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1D6A7CC">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2F004D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04DF20">
      <w:pPr>
        <w:autoSpaceDE w:val="0"/>
        <w:autoSpaceDN w:val="0"/>
        <w:adjustRightInd w:val="0"/>
        <w:spacing w:line="360" w:lineRule="auto"/>
        <w:jc w:val="center"/>
        <w:outlineLvl w:val="9"/>
        <w:rPr>
          <w:rFonts w:hint="eastAsia" w:ascii="黑体" w:hAnsi="黑体" w:eastAsia="黑体" w:cs="黑体"/>
          <w:sz w:val="32"/>
          <w:szCs w:val="32"/>
          <w:lang w:val="zh-CN"/>
        </w:rPr>
      </w:pPr>
      <w:bookmarkStart w:id="1" w:name="_Toc24681"/>
      <w:bookmarkStart w:id="2" w:name="_Toc467852381"/>
      <w:bookmarkStart w:id="3" w:name="_Toc25758"/>
      <w:bookmarkStart w:id="4" w:name="_Toc476665731"/>
      <w:bookmarkStart w:id="5" w:name="_Toc1665062136"/>
      <w:bookmarkStart w:id="6" w:name="_Toc23793"/>
      <w:bookmarkStart w:id="7" w:name="_Toc155256224"/>
      <w:bookmarkStart w:id="8" w:name="_Toc26336"/>
      <w:bookmarkStart w:id="9" w:name="_Toc28110"/>
      <w:bookmarkStart w:id="10" w:name="_Toc1563290462"/>
      <w:bookmarkStart w:id="11" w:name="_Toc28983"/>
      <w:bookmarkStart w:id="12" w:name="_Toc472000152"/>
      <w:r>
        <w:rPr>
          <w:rFonts w:hint="eastAsia" w:ascii="黑体" w:hAnsi="黑体" w:eastAsia="黑体" w:cs="黑体"/>
          <w:sz w:val="32"/>
          <w:szCs w:val="32"/>
          <w:lang w:val="zh-CN"/>
        </w:rPr>
        <w:t>标准编制组</w:t>
      </w:r>
      <w:bookmarkEnd w:id="1"/>
      <w:bookmarkEnd w:id="2"/>
      <w:bookmarkEnd w:id="3"/>
      <w:bookmarkEnd w:id="4"/>
      <w:bookmarkEnd w:id="5"/>
      <w:bookmarkEnd w:id="6"/>
      <w:bookmarkEnd w:id="7"/>
      <w:bookmarkEnd w:id="8"/>
      <w:bookmarkEnd w:id="9"/>
      <w:bookmarkEnd w:id="10"/>
      <w:bookmarkEnd w:id="11"/>
      <w:bookmarkEnd w:id="12"/>
    </w:p>
    <w:p w14:paraId="40FC1D9C">
      <w:pPr>
        <w:tabs>
          <w:tab w:val="right" w:leader="dot" w:pos="8296"/>
        </w:tabs>
        <w:jc w:val="center"/>
        <w:rPr>
          <w:rFonts w:hint="eastAsia" w:ascii="黑体" w:hAnsi="黑体" w:eastAsia="黑体" w:cs="黑体"/>
          <w:sz w:val="32"/>
          <w:szCs w:val="32"/>
          <w:lang w:val="zh-CN"/>
        </w:rPr>
        <w:sectPr>
          <w:footerReference r:id="rId3"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sz w:val="32"/>
          <w:szCs w:val="32"/>
          <w:lang w:val="zh-CN"/>
        </w:rPr>
        <w:t>20</w:t>
      </w:r>
      <w:r>
        <w:rPr>
          <w:rFonts w:hint="eastAsia" w:ascii="黑体" w:hAnsi="黑体" w:eastAsia="黑体" w:cs="黑体"/>
          <w:sz w:val="32"/>
          <w:szCs w:val="32"/>
        </w:rPr>
        <w:t>2</w:t>
      </w:r>
      <w:r>
        <w:rPr>
          <w:rFonts w:hint="eastAsia" w:ascii="黑体" w:hAnsi="黑体" w:eastAsia="黑体" w:cs="黑体"/>
          <w:sz w:val="32"/>
          <w:szCs w:val="32"/>
          <w:lang w:val="en-US" w:eastAsia="zh-CN"/>
        </w:rPr>
        <w:t>5</w:t>
      </w:r>
      <w:r>
        <w:rPr>
          <w:rFonts w:hint="eastAsia" w:ascii="黑体" w:hAnsi="黑体" w:eastAsia="黑体" w:cs="黑体"/>
          <w:sz w:val="32"/>
          <w:szCs w:val="32"/>
          <w:lang w:val="zh-CN"/>
        </w:rPr>
        <w:t>年</w:t>
      </w:r>
      <w:r>
        <w:rPr>
          <w:rFonts w:hint="eastAsia" w:ascii="黑体" w:hAnsi="黑体" w:eastAsia="黑体" w:cs="黑体"/>
          <w:sz w:val="32"/>
          <w:szCs w:val="32"/>
          <w:lang w:val="en-US" w:eastAsia="zh-CN"/>
        </w:rPr>
        <w:t>7</w:t>
      </w:r>
      <w:r>
        <w:rPr>
          <w:rFonts w:hint="eastAsia" w:ascii="黑体" w:hAnsi="黑体" w:eastAsia="黑体" w:cs="黑体"/>
          <w:sz w:val="32"/>
          <w:szCs w:val="32"/>
          <w:lang w:val="zh-CN"/>
        </w:rPr>
        <w:t>月</w:t>
      </w:r>
    </w:p>
    <w:sdt>
      <w:sdtPr>
        <w:rPr>
          <w:rFonts w:ascii="宋体" w:hAnsi="宋体" w:eastAsia="宋体" w:cstheme="minorBidi"/>
          <w:b/>
          <w:bCs/>
          <w:kern w:val="2"/>
          <w:sz w:val="28"/>
          <w:szCs w:val="28"/>
          <w:lang w:val="en-US" w:eastAsia="zh-CN" w:bidi="ar-SA"/>
        </w:rPr>
        <w:id w:val="147461887"/>
        <w15:color w:val="DBDBDB"/>
        <w:docPartObj>
          <w:docPartGallery w:val="Table of Contents"/>
          <w:docPartUnique/>
        </w:docPartObj>
      </w:sdtPr>
      <w:sdtEndPr>
        <w:rPr>
          <w:rFonts w:hint="eastAsia" w:ascii="黑体" w:hAnsi="黑体" w:eastAsia="黑体" w:cs="黑体"/>
          <w:b/>
          <w:bCs/>
          <w:kern w:val="2"/>
          <w:sz w:val="21"/>
          <w:szCs w:val="32"/>
          <w:lang w:val="zh-CN" w:eastAsia="zh-CN" w:bidi="ar-SA"/>
        </w:rPr>
      </w:sdtEndPr>
      <w:sdtContent>
        <w:p w14:paraId="3CA0334E">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目录</w:t>
          </w:r>
        </w:p>
        <w:p w14:paraId="021294DE">
          <w:pPr>
            <w:spacing w:before="0" w:beforeLines="0" w:after="0" w:afterLines="0" w:line="240" w:lineRule="auto"/>
            <w:ind w:left="0" w:leftChars="0" w:right="0" w:rightChars="0" w:firstLine="0" w:firstLineChars="0"/>
            <w:jc w:val="center"/>
            <w:rPr>
              <w:rFonts w:ascii="宋体" w:hAnsi="宋体" w:eastAsia="宋体"/>
              <w:sz w:val="21"/>
            </w:rPr>
          </w:pPr>
        </w:p>
        <w:p w14:paraId="27CE556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rPr>
          </w:pPr>
          <w:r>
            <w:rPr>
              <w:rFonts w:hint="default" w:ascii="Times New Roman Regular" w:hAnsi="Times New Roman Regular" w:eastAsia="宋体" w:cs="Times New Roman Regular"/>
              <w:b w:val="0"/>
              <w:kern w:val="2"/>
              <w:sz w:val="21"/>
              <w:szCs w:val="32"/>
              <w:lang w:val="zh-CN" w:eastAsia="zh-CN" w:bidi="ar-SA"/>
            </w:rPr>
            <w:fldChar w:fldCharType="begin"/>
          </w:r>
          <w:r>
            <w:rPr>
              <w:rFonts w:hint="default" w:ascii="Times New Roman Regular" w:hAnsi="Times New Roman Regular" w:eastAsia="宋体" w:cs="Times New Roman Regular"/>
              <w:b w:val="0"/>
              <w:kern w:val="2"/>
              <w:sz w:val="21"/>
              <w:szCs w:val="32"/>
              <w:lang w:val="zh-CN" w:eastAsia="zh-CN" w:bidi="ar-SA"/>
            </w:rPr>
            <w:instrText xml:space="preserve">TOC \o "1-3" \h \u </w:instrText>
          </w:r>
          <w:r>
            <w:rPr>
              <w:rFonts w:hint="default" w:ascii="Times New Roman Regular" w:hAnsi="Times New Roman Regular" w:eastAsia="宋体" w:cs="Times New Roman Regular"/>
              <w:b w:val="0"/>
              <w:kern w:val="2"/>
              <w:sz w:val="21"/>
              <w:szCs w:val="32"/>
              <w:lang w:val="zh-CN" w:eastAsia="zh-CN" w:bidi="ar-SA"/>
            </w:rPr>
            <w:fldChar w:fldCharType="separate"/>
          </w: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_Toc262095872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28"/>
            </w:rPr>
            <w:t>一、</w:t>
          </w:r>
          <w:r>
            <w:rPr>
              <w:rFonts w:hint="default" w:ascii="Times New Roman Regular" w:hAnsi="Times New Roman Regular" w:eastAsia="宋体" w:cs="Times New Roman Regular"/>
              <w:b/>
              <w:bCs w:val="0"/>
              <w:szCs w:val="28"/>
              <w:lang w:val="en-US" w:eastAsia="zh-CN"/>
            </w:rPr>
            <w:t>工作简况</w:t>
          </w:r>
          <w:r>
            <w:rPr>
              <w:rFonts w:hint="default" w:ascii="Times New Roman Regular" w:hAnsi="Times New Roman Regular" w:eastAsia="宋体" w:cs="Times New Roman Regular"/>
              <w:b/>
              <w:bCs w:val="0"/>
            </w:rPr>
            <w:tab/>
          </w:r>
          <w:r>
            <w:rPr>
              <w:rFonts w:hint="default" w:ascii="Times New Roman Regular" w:hAnsi="Times New Roman Regular" w:eastAsia="宋体" w:cs="Times New Roman Regular"/>
              <w:b/>
              <w:bCs w:val="0"/>
            </w:rPr>
            <w:fldChar w:fldCharType="begin"/>
          </w:r>
          <w:r>
            <w:rPr>
              <w:rFonts w:hint="default" w:ascii="Times New Roman Regular" w:hAnsi="Times New Roman Regular" w:eastAsia="宋体" w:cs="Times New Roman Regular"/>
              <w:b/>
              <w:bCs w:val="0"/>
            </w:rPr>
            <w:instrText xml:space="preserve"> PAGEREF _Toc262095872 \h </w:instrText>
          </w:r>
          <w:r>
            <w:rPr>
              <w:rFonts w:hint="default" w:ascii="Times New Roman Regular" w:hAnsi="Times New Roman Regular" w:eastAsia="宋体" w:cs="Times New Roman Regular"/>
              <w:b/>
              <w:bCs w:val="0"/>
            </w:rPr>
            <w:fldChar w:fldCharType="separate"/>
          </w:r>
          <w:r>
            <w:rPr>
              <w:rFonts w:hint="default" w:ascii="Times New Roman Regular" w:hAnsi="Times New Roman Regular" w:eastAsia="宋体" w:cs="Times New Roman Regular"/>
              <w:b/>
              <w:bCs w:val="0"/>
            </w:rPr>
            <w:t>1</w:t>
          </w:r>
          <w:r>
            <w:rPr>
              <w:rFonts w:hint="default" w:ascii="Times New Roman Regular" w:hAnsi="Times New Roman Regular" w:eastAsia="宋体" w:cs="Times New Roman Regular"/>
              <w:b/>
              <w:bCs w:val="0"/>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B1E852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_Toc556360707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（一）项目简述</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_Toc556360707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93E9288">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_Toc610603511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（二）制定背景</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_Toc610603511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F168FC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_Toc1736344011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rPr>
            <w:t>（三）主要工作过程</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_Toc1736344011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4A8DC3">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_Toc578513794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1．</w:t>
          </w:r>
          <w:r>
            <w:rPr>
              <w:rFonts w:hint="default" w:ascii="Times New Roman Regular" w:hAnsi="Times New Roman Regular" w:eastAsia="宋体" w:cs="Times New Roman Regular"/>
              <w:b w:val="0"/>
              <w:bCs/>
              <w:szCs w:val="21"/>
            </w:rPr>
            <w:t>预研阶段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_Toc578513794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2D4B31E">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_Toc1422865789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2．立项阶段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_Toc1422865789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3665AF8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_Toc1874906378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rPr>
            <w:t>3．</w:t>
          </w:r>
          <w:r>
            <w:rPr>
              <w:rFonts w:hint="default" w:ascii="Times New Roman Regular" w:hAnsi="Times New Roman Regular" w:eastAsia="宋体" w:cs="Times New Roman Regular"/>
              <w:b w:val="0"/>
              <w:bCs/>
              <w:kern w:val="2"/>
              <w:szCs w:val="21"/>
              <w:lang w:val="en-US" w:eastAsia="zh-CN"/>
            </w:rPr>
            <w:t>起草阶段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_Toc1874906378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723CB7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_Toc1523942615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二、关于标准名称</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_Toc1523942615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1B4528B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_Toc2013556183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三、标准编制原则</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_Toc2013556183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461A2DA2">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_Toc1791458255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一致性</w:t>
          </w:r>
          <w:r>
            <w:rPr>
              <w:rFonts w:hint="default" w:ascii="Times New Roman Regular" w:hAnsi="Times New Roman Regular" w:eastAsia="宋体" w:cs="Times New Roman Regular"/>
              <w:b w:val="0"/>
              <w:bCs w:val="0"/>
              <w:szCs w:val="24"/>
            </w:rPr>
            <w:t>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_Toc1791458255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31A00EE">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_Toc1318160845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二</w:t>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先进性原则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_Toc1318160845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D5D407D">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_Toc888019463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三</w:t>
          </w:r>
          <w:r>
            <w:rPr>
              <w:rFonts w:hint="default" w:ascii="Times New Roman Regular" w:hAnsi="Times New Roman Regular" w:eastAsia="宋体" w:cs="Times New Roman Regular"/>
              <w:b w:val="0"/>
              <w:bCs w:val="0"/>
              <w:szCs w:val="24"/>
            </w:rPr>
            <w:t>）协调性原则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_Toc888019463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578ABB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_Toc2079251638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四</w:t>
          </w:r>
          <w:r>
            <w:rPr>
              <w:rFonts w:hint="default" w:ascii="Times New Roman Regular" w:hAnsi="Times New Roman Regular" w:eastAsia="宋体" w:cs="Times New Roman Regular"/>
              <w:b w:val="0"/>
              <w:bCs w:val="0"/>
              <w:szCs w:val="24"/>
            </w:rPr>
            <w:t>）可操作性原则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_Toc2079251638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9D7CC0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_Toc2128375882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四、标准主要内容及编制特点</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_Toc2128375882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D4CB0B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_Toc978340695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主要内容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_Toc978340695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81AB06">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_Toc1837259433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1．范围</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_Toc1837259433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201B01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_Toc151930218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2．规范性引用文件</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_Toc151930218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02F7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_Toc133117643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3．术语和定义</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_Toc133117643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C9BAE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_Toc1777749374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4．总体要求</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_Toc1777749374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52BE1658">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_Toc693748107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5．通用技术规范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_Toc693748107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5FB44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_Toc1135714786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6．专用技术规范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_Toc1135714786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DF0984F">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_Toc1123753766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7．附录</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_Toc1123753766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74017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_Toc1958353444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（二）</w:t>
          </w:r>
          <w:r>
            <w:rPr>
              <w:rFonts w:hint="default" w:ascii="Times New Roman Regular" w:hAnsi="Times New Roman Regular" w:eastAsia="宋体" w:cs="Times New Roman Regular"/>
              <w:b w:val="0"/>
              <w:bCs w:val="0"/>
              <w:szCs w:val="24"/>
              <w:lang w:val="en-US" w:eastAsia="zh-CN"/>
            </w:rPr>
            <w:t>编制特点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_Toc1958353444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40C541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_Toc1711959386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1．统一性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_Toc1711959386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2542E549">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_Toc915497996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2．科学性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_Toc915497996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C57A84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_Toc54488017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3．实践性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_Toc54488017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1EBBD6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_Toc952068097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4．</w:t>
          </w:r>
          <w:r>
            <w:rPr>
              <w:rFonts w:hint="default" w:ascii="Times New Roman Regular" w:hAnsi="Times New Roman Regular" w:eastAsia="宋体" w:cs="Times New Roman Regular"/>
              <w:b w:val="0"/>
              <w:bCs/>
              <w:kern w:val="2"/>
              <w:szCs w:val="21"/>
              <w:lang w:val="en-US" w:eastAsia="zh-CN"/>
            </w:rPr>
            <w:t>全面性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_Toc952068097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36600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_Toc507852482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5．</w:t>
          </w:r>
          <w:r>
            <w:rPr>
              <w:rFonts w:hint="default" w:ascii="Times New Roman Regular" w:hAnsi="Times New Roman Regular" w:eastAsia="宋体" w:cs="Times New Roman Regular"/>
              <w:b w:val="0"/>
              <w:bCs/>
              <w:kern w:val="2"/>
              <w:szCs w:val="21"/>
              <w:lang w:val="en-US" w:eastAsia="zh-CN"/>
            </w:rPr>
            <w:t>先进性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_Toc507852482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D06020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_Toc1376651796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五、重大意见分歧的处理经过和依据</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_Toc1376651796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0250129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_Toc397922594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六、采标情况</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_Toc397922594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51605B11">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_Toc620960600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七、与现行法律法规和强制性国家标准的关系</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_Toc620960600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22FEC237">
          <w:pPr>
            <w:keepNext w:val="0"/>
            <w:keepLines w:val="0"/>
            <w:pageBreakBefore w:val="0"/>
            <w:widowControl w:val="0"/>
            <w:tabs>
              <w:tab w:val="right" w:leader="dot" w:pos="8296"/>
            </w:tabs>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kern w:val="2"/>
              <w:sz w:val="21"/>
              <w:szCs w:val="32"/>
              <w:lang w:val="zh-CN" w:eastAsia="zh-CN" w:bidi="ar-SA"/>
            </w:rPr>
          </w:pPr>
          <w:r>
            <w:rPr>
              <w:rFonts w:hint="default" w:ascii="Times New Roman Regular" w:hAnsi="Times New Roman Regular" w:eastAsia="宋体" w:cs="Times New Roman Regular"/>
              <w:b w:val="0"/>
              <w:kern w:val="2"/>
              <w:szCs w:val="32"/>
              <w:lang w:val="zh-CN" w:eastAsia="zh-CN" w:bidi="ar-SA"/>
            </w:rPr>
            <w:fldChar w:fldCharType="end"/>
          </w:r>
        </w:p>
      </w:sdtContent>
    </w:sdt>
    <w:p w14:paraId="2D57963E">
      <w:pPr>
        <w:tabs>
          <w:tab w:val="right" w:leader="dot" w:pos="8296"/>
        </w:tabs>
        <w:jc w:val="center"/>
        <w:rPr>
          <w:rFonts w:hint="eastAsia" w:ascii="黑体" w:hAnsi="黑体" w:eastAsia="黑体" w:cs="黑体"/>
          <w:kern w:val="2"/>
          <w:sz w:val="21"/>
          <w:szCs w:val="32"/>
          <w:lang w:val="zh-CN" w:eastAsia="zh-CN" w:bidi="ar-SA"/>
        </w:rPr>
      </w:pPr>
    </w:p>
    <w:p w14:paraId="35BF9403">
      <w:pPr>
        <w:widowControl/>
        <w:autoSpaceDE w:val="0"/>
        <w:autoSpaceDN w:val="0"/>
        <w:adjustRightInd w:val="0"/>
        <w:spacing w:before="157" w:beforeLines="50" w:after="313" w:afterLines="100" w:line="360" w:lineRule="auto"/>
        <w:jc w:val="center"/>
        <w:outlineLvl w:val="9"/>
        <w:rPr>
          <w:rFonts w:hint="default" w:ascii="Times New Roman" w:hAnsi="Times New Roman" w:eastAsia="黑体" w:cstheme="minorBidi"/>
          <w:b w:val="0"/>
          <w:kern w:val="2"/>
          <w:sz w:val="32"/>
          <w:szCs w:val="32"/>
          <w:lang w:val="zh-CN"/>
        </w:rPr>
        <w:sectPr>
          <w:footerReference r:id="rId4"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14:paraId="290AA183">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outlineLvl w:val="9"/>
        <w:rPr>
          <w:rFonts w:hint="eastAsia" w:ascii="黑体" w:hAnsi="黑体" w:eastAsia="黑体" w:cs="黑体"/>
          <w:bCs w:val="0"/>
          <w:kern w:val="2"/>
          <w:sz w:val="32"/>
          <w:szCs w:val="32"/>
          <w:lang w:val="zh-CN"/>
        </w:rPr>
      </w:pPr>
      <w:r>
        <w:rPr>
          <w:rFonts w:hint="eastAsia" w:ascii="黑体" w:hAnsi="黑体" w:eastAsia="黑体" w:cs="黑体"/>
          <w:b w:val="0"/>
          <w:bCs w:val="0"/>
          <w:sz w:val="32"/>
          <w:szCs w:val="32"/>
          <w:highlight w:val="none"/>
          <w:lang w:val="en-US" w:eastAsia="zh-CN"/>
        </w:rPr>
        <w:t>《征求意见稿》编制说明</w:t>
      </w:r>
      <w:bookmarkEnd w:id="0"/>
    </w:p>
    <w:p w14:paraId="7A856831">
      <w:pPr>
        <w:pStyle w:val="2"/>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firstLine="420"/>
        <w:textAlignment w:val="auto"/>
        <w:rPr>
          <w:rFonts w:hint="eastAsia" w:ascii="黑体" w:hAnsi="黑体" w:eastAsia="黑体" w:cs="黑体"/>
          <w:b w:val="0"/>
          <w:sz w:val="28"/>
          <w:szCs w:val="28"/>
        </w:rPr>
      </w:pPr>
      <w:bookmarkStart w:id="13" w:name="_Toc8672"/>
      <w:bookmarkStart w:id="14" w:name="_Toc10066"/>
      <w:bookmarkStart w:id="15" w:name="_Toc474794126"/>
      <w:bookmarkStart w:id="16" w:name="_Toc26147"/>
      <w:bookmarkStart w:id="17" w:name="_Toc7173"/>
      <w:bookmarkStart w:id="18" w:name="_Toc7834"/>
      <w:bookmarkStart w:id="19" w:name="_Toc262095872"/>
      <w:bookmarkStart w:id="20" w:name="_Toc26735"/>
      <w:bookmarkStart w:id="21" w:name="_Toc6506"/>
      <w:bookmarkStart w:id="22" w:name="_Toc13053"/>
      <w:bookmarkStart w:id="23" w:name="_Toc28305"/>
      <w:bookmarkStart w:id="24" w:name="_Toc1684"/>
      <w:bookmarkStart w:id="25" w:name="_Toc32428"/>
      <w:bookmarkStart w:id="26" w:name="_Toc2273"/>
      <w:r>
        <w:rPr>
          <w:rFonts w:hint="eastAsia" w:ascii="黑体" w:hAnsi="黑体" w:eastAsia="黑体" w:cs="黑体"/>
          <w:b w:val="0"/>
          <w:sz w:val="28"/>
          <w:szCs w:val="28"/>
          <w:lang w:val="en-US" w:eastAsia="zh-CN"/>
        </w:rPr>
        <w:t>工作简况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34BD">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27" w:name="_Toc546"/>
      <w:bookmarkStart w:id="28" w:name="_Toc17126"/>
      <w:bookmarkStart w:id="29" w:name="_Toc1963127077"/>
      <w:bookmarkStart w:id="30" w:name="_Toc8748"/>
      <w:bookmarkStart w:id="31" w:name="_Toc11618"/>
      <w:bookmarkStart w:id="32" w:name="_Toc556360707"/>
      <w:bookmarkStart w:id="33" w:name="_Toc12774"/>
      <w:bookmarkStart w:id="34" w:name="_Toc19019"/>
      <w:r>
        <w:rPr>
          <w:rFonts w:hint="eastAsia" w:ascii="黑体" w:hAnsi="黑体" w:eastAsia="黑体" w:cs="黑体"/>
          <w:b w:val="0"/>
          <w:bCs/>
          <w:sz w:val="24"/>
          <w:szCs w:val="24"/>
          <w:lang w:val="en-US" w:eastAsia="zh-CN"/>
        </w:rPr>
        <w:t>项目简述</w:t>
      </w:r>
      <w:bookmarkEnd w:id="27"/>
      <w:bookmarkEnd w:id="28"/>
      <w:bookmarkEnd w:id="29"/>
      <w:bookmarkEnd w:id="30"/>
      <w:bookmarkEnd w:id="31"/>
      <w:bookmarkEnd w:id="32"/>
      <w:bookmarkEnd w:id="33"/>
      <w:bookmarkEnd w:id="34"/>
    </w:p>
    <w:p w14:paraId="17843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《发电企业电线电缆采购技术规范 第8部分计算机与仪表屏蔽电缆》系T/CTBA 006《发电企业电线电缆采购技术规范》的第8部分，</w:t>
      </w:r>
      <w:r>
        <w:rPr>
          <w:rFonts w:hint="default" w:ascii="Times New Roman Regular" w:hAnsi="Times New Roman Regular" w:eastAsia="宋体" w:cs="Times New Roman Regular"/>
          <w:b w:val="0"/>
          <w:bCs w:val="0"/>
          <w:sz w:val="21"/>
          <w:szCs w:val="21"/>
          <w:lang w:val="en-US" w:eastAsia="zh-CN"/>
        </w:rPr>
        <w:t>由中国招标投标协会企业物资采购技术标准与碳标签工作部提出，中国招标投标协会归口。</w:t>
      </w:r>
    </w:p>
    <w:p w14:paraId="15D95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发电企业电线电缆采购技术规范》是中国招标投标协会针对企业物资采购“技术规范书”编制工作重复、低效，产品需求规格、技术指标和服务等描述不完整、不明确、不合规等招采管理痛点问题，整合企业间相同采购需求，组织产业链骨干企业共同编制和共享成果的团体标准，旨在共享采购信息知识经验，引导企业采购标准化建设、集约化管理和数字化转型，切实推动全国统一大市场和高标准市场体系建设，促进现代绿色低碳智慧供应链、产业链高质量发展。</w:t>
      </w:r>
    </w:p>
    <w:p w14:paraId="3EE98DC1">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35" w:name="_Toc7245"/>
      <w:bookmarkStart w:id="36" w:name="_Toc9349"/>
      <w:bookmarkStart w:id="37" w:name="_Toc13791"/>
      <w:bookmarkStart w:id="38" w:name="_Toc19726"/>
      <w:bookmarkStart w:id="39" w:name="_Toc24930"/>
      <w:bookmarkStart w:id="40" w:name="_Toc338030631"/>
      <w:bookmarkStart w:id="41" w:name="_Toc32418"/>
      <w:bookmarkStart w:id="42" w:name="_Toc610603511"/>
      <w:r>
        <w:rPr>
          <w:rFonts w:hint="eastAsia" w:ascii="黑体" w:hAnsi="黑体" w:eastAsia="黑体" w:cs="黑体"/>
          <w:b w:val="0"/>
          <w:bCs/>
          <w:sz w:val="24"/>
          <w:szCs w:val="24"/>
          <w:lang w:val="en-US" w:eastAsia="zh-CN"/>
        </w:rPr>
        <w:t>制定背景</w:t>
      </w:r>
      <w:bookmarkEnd w:id="35"/>
      <w:bookmarkEnd w:id="36"/>
      <w:bookmarkEnd w:id="37"/>
      <w:bookmarkEnd w:id="38"/>
      <w:bookmarkEnd w:id="39"/>
      <w:bookmarkEnd w:id="40"/>
      <w:bookmarkEnd w:id="41"/>
      <w:bookmarkEnd w:id="42"/>
    </w:p>
    <w:p w14:paraId="6E8871CA">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sz w:val="21"/>
          <w:szCs w:val="21"/>
          <w:lang w:val="en-US" w:eastAsia="zh-CN"/>
        </w:rPr>
        <w:t>党的十九大报告首次提出现代供应链概念，提出</w:t>
      </w:r>
      <w:r>
        <w:rPr>
          <w:rFonts w:hint="eastAsia" w:ascii="宋体" w:hAnsi="宋体" w:eastAsia="宋体" w:cs="宋体"/>
          <w:b w:val="0"/>
          <w:sz w:val="21"/>
          <w:szCs w:val="21"/>
          <w:lang w:val="en-US" w:eastAsia="zh-CN"/>
        </w:rPr>
        <w:t>“在中高端消费、创新引领、绿色低碳、共享经济、现代供应链、人力资本服务等领域培育新增长点、形成新动能”</w:t>
      </w:r>
      <w:r>
        <w:rPr>
          <w:rFonts w:hint="default" w:ascii="Times New Roman Regular" w:hAnsi="Times New Roman Regular" w:eastAsia="宋体" w:cs="Times New Roman Regular"/>
          <w:b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企业物资采购技术标准是现代供应链的基石，现代供应链的建设与发展有赖于物资采购体系的标准化、数字化和智慧化。</w:t>
      </w:r>
    </w:p>
    <w:p w14:paraId="674A6080">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eastAsia" w:ascii="宋体" w:hAnsi="宋体" w:eastAsia="宋体" w:cs="宋体"/>
          <w:b w:val="0"/>
          <w:bCs w:val="0"/>
          <w:sz w:val="21"/>
          <w:szCs w:val="21"/>
          <w:lang w:val="en-US" w:eastAsia="zh-CN"/>
        </w:rPr>
        <w:t>“构建全国统一大市场”和“建设高标准市场体系”</w:t>
      </w:r>
      <w:r>
        <w:rPr>
          <w:rFonts w:hint="default" w:ascii="Times New Roman Regular" w:hAnsi="Times New Roman Regular" w:eastAsia="宋体" w:cs="Times New Roman Regular"/>
          <w:b w:val="0"/>
          <w:bCs w:val="0"/>
          <w:sz w:val="21"/>
          <w:szCs w:val="21"/>
          <w:lang w:val="en-US" w:eastAsia="zh-CN"/>
        </w:rPr>
        <w:t>是国家战略，制定高水平采购技术标准是构建全国统一大市场和建设高标准市场体系的必然举措。《国务院办公厅关于创新完善体制机制推动招标投标市场规范健康发展的意见（国办发〔2024〕21号）》明确要求：</w:t>
      </w:r>
      <w:r>
        <w:rPr>
          <w:rFonts w:hint="eastAsia" w:ascii="宋体" w:hAnsi="宋体" w:eastAsia="宋体" w:cs="宋体"/>
          <w:b w:val="0"/>
          <w:bCs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加快构建科学规范的招标投标交易标准体系，按照不同领域和专业制定数字化招标采购技术标准，满足各类项目专业化交易需求。建立招标投标领域统一分级分类的信用评价指标体系，规范招标投标信用评价应用。</w:t>
      </w:r>
      <w:r>
        <w:rPr>
          <w:rFonts w:hint="eastAsia" w:ascii="宋体" w:hAnsi="宋体" w:eastAsia="宋体" w:cs="宋体"/>
          <w:b w:val="0"/>
          <w:bCs w:val="0"/>
          <w:sz w:val="21"/>
          <w:szCs w:val="21"/>
          <w:lang w:val="en-US" w:eastAsia="zh-CN"/>
        </w:rPr>
        <w:t>”</w:t>
      </w:r>
    </w:p>
    <w:p w14:paraId="4027B4D3">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default" w:ascii="Times New Roman Regular" w:hAnsi="Times New Roman Regular" w:eastAsia="宋体" w:cs="Times New Roman Regular"/>
          <w:b w:val="0"/>
          <w:sz w:val="21"/>
          <w:szCs w:val="21"/>
          <w:lang w:val="en-US" w:eastAsia="zh-CN"/>
        </w:rPr>
        <w:t>国家鼓励企业、高等学校、科研机构和社会团体等开展标准化专业技术服务工作，提升标准化服务的社会化、市场化水平，服务企业标准化工作。（《企业标准化促进办法》2023年8月31日国家市场监督管理总局令第83号）&amp;（《政府采购需求管理办法》财库〔2021〕22号）</w:t>
      </w:r>
    </w:p>
    <w:p w14:paraId="7ADEFA37">
      <w:pPr>
        <w:keepNext w:val="0"/>
        <w:keepLines w:val="0"/>
        <w:pageBreakBefore w:val="0"/>
        <w:numPr>
          <w:ilvl w:val="0"/>
          <w:numId w:val="7"/>
        </w:numPr>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黑体" w:hAnsi="黑体" w:eastAsia="黑体" w:cs="黑体"/>
          <w:b w:val="0"/>
          <w:bCs/>
          <w:sz w:val="24"/>
          <w:szCs w:val="24"/>
        </w:rPr>
      </w:pPr>
      <w:bookmarkStart w:id="43" w:name="_Toc15370"/>
      <w:bookmarkStart w:id="44" w:name="_Toc26444"/>
      <w:bookmarkStart w:id="45" w:name="_Toc1736344011"/>
      <w:bookmarkStart w:id="46" w:name="_Toc29426"/>
      <w:bookmarkStart w:id="47" w:name="_Toc4636"/>
      <w:bookmarkStart w:id="48" w:name="_Toc29490"/>
      <w:bookmarkStart w:id="49" w:name="_Toc11138"/>
      <w:bookmarkStart w:id="50" w:name="_Toc1186568902"/>
      <w:r>
        <w:rPr>
          <w:rFonts w:hint="eastAsia" w:ascii="黑体" w:hAnsi="黑体" w:eastAsia="黑体" w:cs="黑体"/>
          <w:b w:val="0"/>
          <w:bCs/>
          <w:sz w:val="24"/>
          <w:szCs w:val="24"/>
        </w:rPr>
        <w:t>主要工作过程</w:t>
      </w:r>
      <w:bookmarkEnd w:id="43"/>
      <w:bookmarkEnd w:id="44"/>
      <w:bookmarkEnd w:id="45"/>
      <w:bookmarkEnd w:id="46"/>
      <w:bookmarkEnd w:id="47"/>
      <w:bookmarkEnd w:id="48"/>
      <w:bookmarkEnd w:id="49"/>
      <w:bookmarkEnd w:id="50"/>
    </w:p>
    <w:p w14:paraId="638DC08F">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20" w:firstLineChars="200"/>
        <w:textAlignment w:val="auto"/>
        <w:outlineLvl w:val="2"/>
        <w:rPr>
          <w:rFonts w:hint="default" w:ascii="Times New Roman Regular" w:hAnsi="Times New Roman Regular" w:eastAsia="宋体" w:cs="Times New Roman Regular"/>
          <w:b/>
          <w:bCs/>
          <w:kern w:val="2"/>
          <w:sz w:val="21"/>
          <w:szCs w:val="21"/>
        </w:rPr>
      </w:pPr>
      <w:bookmarkStart w:id="51" w:name="_Toc1130389872"/>
      <w:bookmarkStart w:id="52" w:name="_Toc578513794"/>
      <w:bookmarkStart w:id="53" w:name="_Toc11490"/>
      <w:bookmarkStart w:id="54" w:name="_Toc28989"/>
      <w:bookmarkStart w:id="55" w:name="_Toc11739"/>
      <w:bookmarkStart w:id="56" w:name="_Toc1133"/>
      <w:bookmarkStart w:id="57" w:name="_Toc12796"/>
      <w:r>
        <w:rPr>
          <w:rFonts w:hint="default" w:ascii="Times New Roman Regular" w:hAnsi="Times New Roman Regular" w:eastAsia="宋体" w:cs="Times New Roman Regular"/>
          <w:b/>
          <w:bCs/>
          <w:sz w:val="21"/>
          <w:szCs w:val="21"/>
        </w:rPr>
        <w:t>预研阶段</w:t>
      </w:r>
      <w:bookmarkEnd w:id="51"/>
      <w:bookmarkEnd w:id="52"/>
      <w:bookmarkEnd w:id="53"/>
      <w:bookmarkEnd w:id="54"/>
      <w:bookmarkEnd w:id="55"/>
      <w:bookmarkEnd w:id="56"/>
      <w:bookmarkEnd w:id="57"/>
    </w:p>
    <w:p w14:paraId="3AE3C250">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3</w:t>
      </w:r>
      <w:r>
        <w:rPr>
          <w:rFonts w:hint="default" w:ascii="Times New Roman Regular" w:hAnsi="Times New Roman Regular" w:eastAsia="宋体" w:cs="Times New Roman Regular"/>
          <w:b w:val="0"/>
          <w:kern w:val="2"/>
          <w:sz w:val="21"/>
          <w:szCs w:val="21"/>
        </w:rPr>
        <w:t>年</w:t>
      </w:r>
      <w:r>
        <w:rPr>
          <w:rFonts w:hint="default" w:ascii="Times New Roman Regular" w:hAnsi="Times New Roman Regular" w:eastAsia="宋体" w:cs="Times New Roman Regular"/>
          <w:b w:val="0"/>
          <w:kern w:val="2"/>
          <w:sz w:val="21"/>
          <w:szCs w:val="21"/>
          <w:lang w:val="en-US" w:eastAsia="zh-CN"/>
        </w:rPr>
        <w:t>12</w:t>
      </w:r>
      <w:r>
        <w:rPr>
          <w:rFonts w:hint="default" w:ascii="Times New Roman Regular" w:hAnsi="Times New Roman Regular" w:eastAsia="宋体" w:cs="Times New Roman Regular"/>
          <w:b w:val="0"/>
          <w:kern w:val="2"/>
          <w:sz w:val="21"/>
          <w:szCs w:val="21"/>
        </w:rPr>
        <w:t>月</w:t>
      </w:r>
      <w:r>
        <w:rPr>
          <w:rFonts w:hint="default" w:ascii="Times New Roman Regular" w:hAnsi="Times New Roman Regular" w:eastAsia="宋体" w:cs="Times New Roman Regular"/>
          <w:b w:val="0"/>
          <w:kern w:val="2"/>
          <w:sz w:val="21"/>
          <w:szCs w:val="21"/>
          <w:lang w:eastAsia="zh-CN"/>
        </w:rPr>
        <w:t>，</w:t>
      </w:r>
      <w:r>
        <w:rPr>
          <w:rFonts w:hint="default" w:ascii="Times New Roman Regular" w:hAnsi="Times New Roman Regular" w:eastAsia="宋体" w:cs="Times New Roman Regular"/>
          <w:b w:val="0"/>
          <w:kern w:val="2"/>
          <w:sz w:val="21"/>
          <w:szCs w:val="21"/>
          <w:lang w:val="en-US" w:eastAsia="zh-CN"/>
        </w:rPr>
        <w:t>国信云联数据科技股份有限公司率先提出，并着手标准项目预研工作。</w:t>
      </w:r>
    </w:p>
    <w:p w14:paraId="74E3A5DD">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2024年1—3月，</w:t>
      </w:r>
      <w:r>
        <w:rPr>
          <w:rFonts w:hint="eastAsia" w:ascii="Times New Roman Regular" w:hAnsi="Times New Roman Regular" w:eastAsia="宋体" w:cs="Times New Roman Regular"/>
          <w:b w:val="0"/>
          <w:kern w:val="2"/>
          <w:sz w:val="21"/>
          <w:szCs w:val="21"/>
          <w:lang w:val="en-US" w:eastAsia="zh-CN"/>
        </w:rPr>
        <w:t>中国华能集团</w:t>
      </w:r>
      <w:r>
        <w:rPr>
          <w:rFonts w:hint="default" w:ascii="Times New Roman Regular" w:hAnsi="Times New Roman Regular" w:eastAsia="宋体" w:cs="Times New Roman Regular"/>
          <w:b w:val="0"/>
          <w:kern w:val="2"/>
          <w:sz w:val="21"/>
          <w:szCs w:val="21"/>
          <w:lang w:val="en-US" w:eastAsia="zh-CN"/>
        </w:rPr>
        <w:t>华能能源交通产业控股有限公司（华能集团物资供应中心）</w:t>
      </w:r>
      <w:r>
        <w:rPr>
          <w:rFonts w:hint="eastAsia" w:ascii="Times New Roman Regular" w:hAnsi="Times New Roman Regular" w:eastAsia="宋体" w:cs="Times New Roman Regular"/>
          <w:b w:val="0"/>
          <w:kern w:val="2"/>
          <w:sz w:val="21"/>
          <w:szCs w:val="21"/>
          <w:lang w:val="en-US" w:eastAsia="zh-CN"/>
        </w:rPr>
        <w:t>牵头，联合</w:t>
      </w:r>
      <w:r>
        <w:rPr>
          <w:rFonts w:hint="default" w:ascii="Times New Roman Regular" w:hAnsi="Times New Roman Regular" w:eastAsia="宋体" w:cs="Times New Roman Regular"/>
          <w:b w:val="0"/>
          <w:kern w:val="2"/>
          <w:sz w:val="21"/>
          <w:szCs w:val="21"/>
          <w:lang w:val="en-US" w:eastAsia="zh-CN"/>
        </w:rPr>
        <w:t>中国水利电力物资集团有限公司</w:t>
      </w:r>
      <w:r>
        <w:rPr>
          <w:rFonts w:hint="default" w:ascii="Times New Roman Regular" w:hAnsi="Times New Roman Regular" w:eastAsia="宋体" w:cs="Times New Roman Regular"/>
          <w:b w:val="0"/>
          <w:kern w:val="2"/>
          <w:sz w:val="21"/>
          <w:szCs w:val="21"/>
        </w:rPr>
        <w:t>、</w:t>
      </w:r>
      <w:r>
        <w:rPr>
          <w:rFonts w:hint="default" w:ascii="Times New Roman Regular" w:hAnsi="Times New Roman Regular" w:eastAsia="宋体" w:cs="Times New Roman Regular"/>
          <w:b w:val="0"/>
          <w:kern w:val="2"/>
          <w:sz w:val="21"/>
          <w:szCs w:val="21"/>
          <w:lang w:val="en-US" w:eastAsia="zh-CN"/>
        </w:rPr>
        <w:t>中国电能成套设备有限公司、中国华电集团物资有限公司、国家能源集团物资有限公司、中国水利电力物资上海有限公司、华电海南物资有限公司等</w:t>
      </w:r>
      <w:r>
        <w:rPr>
          <w:rFonts w:hint="default" w:ascii="Times New Roman Regular" w:hAnsi="Times New Roman Regular" w:eastAsia="宋体" w:cs="Times New Roman Regular"/>
          <w:b w:val="0"/>
          <w:kern w:val="2"/>
          <w:sz w:val="21"/>
          <w:szCs w:val="21"/>
        </w:rPr>
        <w:t>相关</w:t>
      </w:r>
      <w:r>
        <w:rPr>
          <w:rFonts w:hint="eastAsia" w:ascii="Times New Roman Regular" w:hAnsi="Times New Roman Regular" w:eastAsia="宋体" w:cs="Times New Roman Regular"/>
          <w:b w:val="0"/>
          <w:kern w:val="2"/>
          <w:sz w:val="21"/>
          <w:szCs w:val="21"/>
          <w:lang w:val="en-US" w:eastAsia="zh-CN"/>
        </w:rPr>
        <w:t>采购单位</w:t>
      </w:r>
      <w:r>
        <w:rPr>
          <w:rFonts w:hint="default" w:ascii="Times New Roman Regular" w:hAnsi="Times New Roman Regular" w:eastAsia="宋体" w:cs="Times New Roman Regular"/>
          <w:b w:val="0"/>
          <w:kern w:val="2"/>
          <w:sz w:val="21"/>
          <w:szCs w:val="21"/>
          <w:lang w:val="en-US" w:eastAsia="zh-CN"/>
        </w:rPr>
        <w:t>负责人</w:t>
      </w:r>
      <w:r>
        <w:rPr>
          <w:rFonts w:hint="eastAsia" w:ascii="Times New Roman Regular" w:hAnsi="Times New Roman Regular" w:eastAsia="宋体" w:cs="Times New Roman Regular"/>
          <w:b w:val="0"/>
          <w:kern w:val="2"/>
          <w:sz w:val="21"/>
          <w:szCs w:val="21"/>
          <w:lang w:val="en-US" w:eastAsia="zh-CN"/>
        </w:rPr>
        <w:t>举行</w:t>
      </w:r>
      <w:r>
        <w:rPr>
          <w:rFonts w:hint="default" w:ascii="Times New Roman Regular" w:hAnsi="Times New Roman Regular" w:eastAsia="宋体" w:cs="Times New Roman Regular"/>
          <w:b w:val="0"/>
          <w:kern w:val="2"/>
          <w:sz w:val="21"/>
          <w:szCs w:val="21"/>
          <w:lang w:val="en-US" w:eastAsia="zh-CN"/>
        </w:rPr>
        <w:t>标准座谈会，深入研讨采购技术标准项目编制的必要性和可行性。</w:t>
      </w:r>
    </w:p>
    <w:p w14:paraId="36FED088">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2024年3月28—29日，在江苏省宜兴市召开</w:t>
      </w:r>
      <w:r>
        <w:rPr>
          <w:rFonts w:hint="default" w:ascii="Times New Roman Regular" w:hAnsi="Times New Roman Regular" w:eastAsia="宋体" w:cs="Times New Roman Regular"/>
          <w:b w:val="0"/>
          <w:sz w:val="21"/>
          <w:szCs w:val="21"/>
          <w:lang w:val="en-US" w:eastAsia="zh-CN"/>
        </w:rPr>
        <w:t>《发电企业电线电缆采购技术标准》编制研讨会，广泛征求</w:t>
      </w:r>
      <w:r>
        <w:rPr>
          <w:rFonts w:hint="default" w:ascii="Times New Roman Regular" w:hAnsi="Times New Roman Regular" w:eastAsia="宋体" w:cs="Times New Roman Regular"/>
          <w:b w:val="0"/>
          <w:sz w:val="21"/>
          <w:szCs w:val="21"/>
        </w:rPr>
        <w:t>业界专家意见</w:t>
      </w:r>
      <w:r>
        <w:rPr>
          <w:rFonts w:hint="default" w:ascii="Times New Roman Regular" w:hAnsi="Times New Roman Regular" w:eastAsia="宋体" w:cs="Times New Roman Regular"/>
          <w:b w:val="0"/>
          <w:sz w:val="21"/>
          <w:szCs w:val="21"/>
          <w:lang w:val="en-US" w:eastAsia="zh-CN"/>
        </w:rPr>
        <w:t>。</w:t>
      </w:r>
    </w:p>
    <w:p w14:paraId="441A6075">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rPr>
      </w:pPr>
      <w:bookmarkStart w:id="58" w:name="_Toc10360"/>
      <w:bookmarkStart w:id="59" w:name="_Toc4142"/>
      <w:bookmarkStart w:id="60" w:name="_Toc3351"/>
      <w:bookmarkStart w:id="61" w:name="_Toc25711"/>
      <w:bookmarkStart w:id="62" w:name="_Toc10961"/>
      <w:bookmarkStart w:id="63" w:name="_Toc1422865789"/>
      <w:bookmarkStart w:id="64" w:name="_Toc1822237342"/>
      <w:r>
        <w:rPr>
          <w:rFonts w:hint="default" w:ascii="Times New Roman Regular" w:hAnsi="Times New Roman Regular" w:eastAsia="宋体" w:cs="Times New Roman Regular"/>
          <w:b/>
          <w:bCs/>
          <w:kern w:val="2"/>
          <w:sz w:val="21"/>
          <w:szCs w:val="21"/>
        </w:rPr>
        <w:t>立项阶段</w:t>
      </w:r>
      <w:bookmarkEnd w:id="58"/>
      <w:bookmarkEnd w:id="59"/>
      <w:bookmarkEnd w:id="60"/>
      <w:bookmarkEnd w:id="61"/>
      <w:bookmarkEnd w:id="62"/>
      <w:bookmarkEnd w:id="63"/>
      <w:bookmarkEnd w:id="64"/>
    </w:p>
    <w:p w14:paraId="72B27A9B">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日，中国招标投标协会发布《发电企业电线电缆采购技术</w:t>
      </w:r>
      <w:r>
        <w:rPr>
          <w:rFonts w:hint="eastAsia" w:ascii="Times New Roman Regular" w:hAnsi="Times New Roman Regular" w:eastAsia="宋体" w:cs="Times New Roman Regular"/>
          <w:b w:val="0"/>
          <w:sz w:val="21"/>
          <w:szCs w:val="21"/>
          <w:lang w:val="en-US" w:eastAsia="zh-CN"/>
        </w:rPr>
        <w:t>规范 第8部分：计算机与仪表屏蔽</w:t>
      </w:r>
      <w:r>
        <w:rPr>
          <w:rFonts w:hint="default" w:ascii="Times New Roman Regular" w:hAnsi="Times New Roman Regular" w:eastAsia="宋体" w:cs="Times New Roman Regular"/>
          <w:b w:val="0"/>
          <w:sz w:val="21"/>
          <w:szCs w:val="21"/>
          <w:lang w:val="en-US" w:eastAsia="zh-CN"/>
        </w:rPr>
        <w:t>电缆》团体标准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日至2024年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23</w:t>
      </w:r>
      <w:r>
        <w:rPr>
          <w:rFonts w:hint="default" w:ascii="Times New Roman Regular" w:hAnsi="Times New Roman Regular" w:eastAsia="宋体" w:cs="Times New Roman Regular"/>
          <w:b w:val="0"/>
          <w:sz w:val="21"/>
          <w:szCs w:val="21"/>
          <w:lang w:val="en-US" w:eastAsia="zh-CN"/>
        </w:rPr>
        <w:t>日</w:t>
      </w:r>
      <w:r>
        <w:rPr>
          <w:rFonts w:hint="default" w:ascii="Times New Roman Regular" w:hAnsi="Times New Roman Regular" w:eastAsia="宋体" w:cs="Times New Roman Regular"/>
          <w:b w:val="0"/>
          <w:sz w:val="21"/>
          <w:szCs w:val="21"/>
        </w:rPr>
        <w:t>。</w:t>
      </w:r>
    </w:p>
    <w:p w14:paraId="04AC55D1">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rPr>
      </w:pPr>
      <w:bookmarkStart w:id="65" w:name="_Toc19751"/>
      <w:bookmarkStart w:id="66" w:name="_Toc1078717127"/>
      <w:bookmarkStart w:id="67" w:name="_Toc16113"/>
      <w:bookmarkStart w:id="68" w:name="_Toc1874906378"/>
      <w:bookmarkStart w:id="69" w:name="_Toc13373"/>
      <w:bookmarkStart w:id="70" w:name="_Toc24042"/>
      <w:bookmarkStart w:id="71" w:name="_Toc14673"/>
      <w:r>
        <w:rPr>
          <w:rFonts w:hint="default" w:ascii="Times New Roman Regular" w:hAnsi="Times New Roman Regular" w:eastAsia="宋体" w:cs="Times New Roman Regular"/>
          <w:b/>
          <w:bCs/>
          <w:kern w:val="2"/>
          <w:sz w:val="21"/>
          <w:szCs w:val="21"/>
          <w:lang w:val="en-US" w:eastAsia="zh-CN"/>
        </w:rPr>
        <w:t>起草阶段</w:t>
      </w:r>
      <w:bookmarkEnd w:id="65"/>
      <w:bookmarkEnd w:id="66"/>
      <w:bookmarkEnd w:id="67"/>
      <w:bookmarkEnd w:id="68"/>
      <w:bookmarkEnd w:id="69"/>
      <w:bookmarkEnd w:id="70"/>
      <w:bookmarkEnd w:id="71"/>
    </w:p>
    <w:p w14:paraId="5A6504FE">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9</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至2025年5月，组织标准起草单位，开启标准编制工作，分工如下：</w:t>
      </w:r>
    </w:p>
    <w:tbl>
      <w:tblPr>
        <w:tblStyle w:val="19"/>
        <w:tblW w:w="4815"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3489"/>
      </w:tblGrid>
      <w:tr w14:paraId="227569EC">
        <w:trPr>
          <w:trHeight w:val="498" w:hRule="atLeast"/>
          <w:tblHeader/>
          <w:jc w:val="center"/>
        </w:trPr>
        <w:tc>
          <w:tcPr>
            <w:tcW w:w="3107" w:type="pct"/>
            <w:tcBorders>
              <w:tl2br w:val="nil"/>
              <w:tr2bl w:val="nil"/>
            </w:tcBorders>
            <w:shd w:val="clear" w:color="auto" w:fill="auto"/>
            <w:noWrap/>
            <w:vAlign w:val="center"/>
          </w:tcPr>
          <w:p w14:paraId="487E0E3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kern w:val="0"/>
                <w:sz w:val="18"/>
                <w:szCs w:val="18"/>
                <w:lang w:bidi="ar"/>
              </w:rPr>
              <w:t>单位</w:t>
            </w:r>
          </w:p>
        </w:tc>
        <w:tc>
          <w:tcPr>
            <w:tcW w:w="1892" w:type="pct"/>
            <w:tcBorders>
              <w:tl2br w:val="nil"/>
              <w:tr2bl w:val="nil"/>
            </w:tcBorders>
            <w:shd w:val="clear" w:color="auto" w:fill="auto"/>
            <w:noWrap/>
            <w:vAlign w:val="center"/>
          </w:tcPr>
          <w:p w14:paraId="6F6A82A6">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sz w:val="18"/>
                <w:szCs w:val="18"/>
              </w:rPr>
              <w:t>分工</w:t>
            </w:r>
          </w:p>
        </w:tc>
      </w:tr>
      <w:tr w14:paraId="202B0948">
        <w:trPr>
          <w:trHeight w:val="510" w:hRule="atLeast"/>
          <w:jc w:val="center"/>
        </w:trPr>
        <w:tc>
          <w:tcPr>
            <w:tcW w:w="3107" w:type="pct"/>
            <w:tcBorders>
              <w:tl2br w:val="nil"/>
              <w:tr2bl w:val="nil"/>
            </w:tcBorders>
            <w:shd w:val="clear" w:color="auto" w:fill="auto"/>
            <w:noWrap/>
            <w:vAlign w:val="center"/>
          </w:tcPr>
          <w:p w14:paraId="74C6E860">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中国电能成套设备有限公司</w:t>
            </w:r>
          </w:p>
        </w:tc>
        <w:tc>
          <w:tcPr>
            <w:tcW w:w="1892" w:type="pct"/>
            <w:tcBorders>
              <w:tl2br w:val="nil"/>
              <w:tr2bl w:val="nil"/>
            </w:tcBorders>
            <w:shd w:val="clear" w:color="auto" w:fill="auto"/>
            <w:noWrap/>
            <w:vAlign w:val="center"/>
          </w:tcPr>
          <w:p w14:paraId="0A815EBF">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b/>
                <w:bCs/>
                <w:sz w:val="18"/>
                <w:szCs w:val="18"/>
                <w:lang w:val="en-US" w:eastAsia="zh-CN"/>
              </w:rPr>
              <w:t>牵头编制初稿和审议</w:t>
            </w:r>
            <w:r>
              <w:rPr>
                <w:rFonts w:hint="default" w:ascii="Times New Roman Regular" w:hAnsi="Times New Roman Regular" w:eastAsia="宋体" w:cs="Times New Roman Regular"/>
                <w:b/>
                <w:bCs/>
                <w:sz w:val="18"/>
                <w:szCs w:val="18"/>
              </w:rPr>
              <w:t>。</w:t>
            </w:r>
          </w:p>
          <w:p w14:paraId="42964A1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提供光伏电缆招投标技术要求指导</w:t>
            </w:r>
            <w:r>
              <w:rPr>
                <w:rFonts w:hint="default" w:ascii="Times New Roman Regular" w:hAnsi="Times New Roman Regular" w:eastAsia="宋体" w:cs="Times New Roman Regular"/>
                <w:sz w:val="18"/>
                <w:szCs w:val="18"/>
                <w:lang w:eastAsia="zh-CN"/>
              </w:rPr>
              <w:t>。</w:t>
            </w:r>
          </w:p>
        </w:tc>
      </w:tr>
      <w:tr w14:paraId="74A2CA96">
        <w:trPr>
          <w:trHeight w:val="510" w:hRule="atLeast"/>
          <w:jc w:val="center"/>
        </w:trPr>
        <w:tc>
          <w:tcPr>
            <w:tcW w:w="3107" w:type="pct"/>
            <w:tcBorders>
              <w:tl2br w:val="nil"/>
              <w:tr2bl w:val="nil"/>
            </w:tcBorders>
            <w:shd w:val="clear" w:color="auto" w:fill="auto"/>
            <w:noWrap/>
            <w:vAlign w:val="center"/>
          </w:tcPr>
          <w:p w14:paraId="1170AFED">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华能能源交通产业控股有限公司（中国华能集团有限公司物资供应中心）、中国水利电力物资集团有限公司、中国华电集团物资有限公司、国家能源集团物资有限公司、华能能源交通产业控股有限公司北京分公司、中国水利电力物资上海有限公司、电能（北京）认证中心有限公司、华电海南物资有限公司、国能诚信招标有限公司、北京国电工程招标有限公司</w:t>
            </w:r>
          </w:p>
        </w:tc>
        <w:tc>
          <w:tcPr>
            <w:tcW w:w="1892" w:type="pct"/>
            <w:tcBorders>
              <w:tl2br w:val="nil"/>
              <w:tr2bl w:val="nil"/>
            </w:tcBorders>
            <w:shd w:val="clear" w:color="auto" w:fill="auto"/>
            <w:noWrap/>
            <w:vAlign w:val="center"/>
          </w:tcPr>
          <w:p w14:paraId="592630C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rPr>
              <w:t>提供</w:t>
            </w:r>
            <w:r>
              <w:rPr>
                <w:rFonts w:hint="default" w:ascii="Times New Roman Regular" w:hAnsi="Times New Roman Regular" w:eastAsia="宋体" w:cs="Times New Roman Regular"/>
                <w:sz w:val="18"/>
                <w:szCs w:val="18"/>
                <w:lang w:val="en-US" w:eastAsia="zh-CN"/>
              </w:rPr>
              <w:t>光伏电缆招投标技术要求指导</w:t>
            </w:r>
            <w:r>
              <w:rPr>
                <w:rFonts w:hint="default" w:ascii="Times New Roman Regular" w:hAnsi="Times New Roman Regular" w:eastAsia="宋体" w:cs="Times New Roman Regular"/>
                <w:sz w:val="18"/>
                <w:szCs w:val="18"/>
                <w:lang w:eastAsia="zh-CN"/>
              </w:rPr>
              <w:t>；</w:t>
            </w:r>
          </w:p>
          <w:p w14:paraId="7F20895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44D75400">
        <w:trPr>
          <w:trHeight w:val="510" w:hRule="atLeast"/>
          <w:jc w:val="center"/>
        </w:trPr>
        <w:tc>
          <w:tcPr>
            <w:tcW w:w="3107" w:type="pct"/>
            <w:tcBorders>
              <w:tl2br w:val="nil"/>
              <w:tr2bl w:val="nil"/>
            </w:tcBorders>
            <w:shd w:val="clear" w:color="auto" w:fill="auto"/>
            <w:noWrap/>
            <w:vAlign w:val="center"/>
          </w:tcPr>
          <w:p w14:paraId="1110C3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国能源建设集团电子商务有限公司、中国广核集团有限公司、长江三峡（成都）电子商务有限公司、中投咨询有限公司、中国节能环保集团有限公司绿色供应链管理服务分公司、内蒙古能源集团有限公司、北京京能招标集采中心有限责任公司、上海宝华国际招标有限公司、中煤能源供应链管理（北京）有限责任公司、中石化国际事业北京有限公司</w:t>
            </w:r>
          </w:p>
        </w:tc>
        <w:tc>
          <w:tcPr>
            <w:tcW w:w="1892" w:type="pct"/>
            <w:tcBorders>
              <w:tl2br w:val="nil"/>
              <w:tr2bl w:val="nil"/>
            </w:tcBorders>
            <w:shd w:val="clear" w:color="auto" w:fill="auto"/>
            <w:noWrap/>
            <w:vAlign w:val="center"/>
          </w:tcPr>
          <w:p w14:paraId="70D0361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4F97B80E">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ABE3678">
        <w:trPr>
          <w:trHeight w:val="510" w:hRule="atLeast"/>
          <w:jc w:val="center"/>
        </w:trPr>
        <w:tc>
          <w:tcPr>
            <w:tcW w:w="3107" w:type="pct"/>
            <w:tcBorders>
              <w:tl2br w:val="nil"/>
              <w:tr2bl w:val="nil"/>
            </w:tcBorders>
            <w:shd w:val="clear" w:color="auto" w:fill="auto"/>
            <w:noWrap/>
            <w:vAlign w:val="center"/>
          </w:tcPr>
          <w:p w14:paraId="5FCB8E04">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rPr>
              <w:t>中国电力工程顾问集团西南电力设计院有限公司、中国电力工程顾问集团东北电力设计院有限公司、中国能源建设集团江苏省电力设计院有限公司、中国能源建设集团安徽省电力设计院有限公司、中国能源建设集团云南省电力设计院有限公司、中国能源建设集团广东省电力设计研究院有限公司、国核电力规划设计研究院有限公司、上海勘测设计研究院有限公司、四川电力设计咨询有限责任公司、中国电建集团华东勘测设计研究院有限公司、中国电建集团河南省电力勘测设计院有限公司、中水东北勘测设计研究有限责任公司、龙源（北京）新能源工程设计研究院有限公司、深圳市建筑设计研究总院有限公司合肥分院、安徽省城建设计研究总院股份有限公司、合肥工业大学设计院（集团）有限公司</w:t>
            </w:r>
          </w:p>
        </w:tc>
        <w:tc>
          <w:tcPr>
            <w:tcW w:w="1892" w:type="pct"/>
            <w:tcBorders>
              <w:tl2br w:val="nil"/>
              <w:tr2bl w:val="nil"/>
            </w:tcBorders>
            <w:shd w:val="clear" w:color="auto" w:fill="auto"/>
            <w:noWrap/>
            <w:vAlign w:val="center"/>
          </w:tcPr>
          <w:p w14:paraId="278B44B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5C84699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3F4D880E">
        <w:trPr>
          <w:trHeight w:val="510" w:hRule="atLeast"/>
          <w:jc w:val="center"/>
        </w:trPr>
        <w:tc>
          <w:tcPr>
            <w:tcW w:w="3107" w:type="pct"/>
            <w:tcBorders>
              <w:tl2br w:val="nil"/>
              <w:tr2bl w:val="nil"/>
            </w:tcBorders>
            <w:shd w:val="clear" w:color="auto" w:fill="auto"/>
            <w:noWrap/>
            <w:vAlign w:val="center"/>
          </w:tcPr>
          <w:p w14:paraId="29BF835E">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信云联数据科技股份有限公司、中国质量认证中心有限公司、中国电力科学研究院有限公司武汉分院、武汉产品质量监督检验所[国家电线电缆产品质量检验检测中心（武汉）]、安徽宇测线缆检测技术有限公司[国家特种电线电缆产品质量检验检测中心（安徽）]、中正智信检验认证股份有限公司</w:t>
            </w:r>
          </w:p>
        </w:tc>
        <w:tc>
          <w:tcPr>
            <w:tcW w:w="1892" w:type="pct"/>
            <w:tcBorders>
              <w:tl2br w:val="nil"/>
              <w:tr2bl w:val="nil"/>
            </w:tcBorders>
            <w:shd w:val="clear" w:color="auto" w:fill="auto"/>
            <w:noWrap/>
            <w:vAlign w:val="center"/>
          </w:tcPr>
          <w:p w14:paraId="792E461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sz w:val="18"/>
                <w:szCs w:val="18"/>
                <w:lang w:val="en-US" w:eastAsia="zh-CN"/>
              </w:rPr>
            </w:pPr>
            <w:r>
              <w:rPr>
                <w:rFonts w:hint="default" w:ascii="Times New Roman Regular" w:hAnsi="Times New Roman Regular" w:eastAsia="宋体" w:cs="Times New Roman Regular"/>
                <w:color w:val="000000"/>
                <w:sz w:val="18"/>
                <w:szCs w:val="18"/>
              </w:rPr>
              <w:t>归纳</w:t>
            </w:r>
            <w:r>
              <w:rPr>
                <w:rFonts w:hint="default" w:ascii="Times New Roman Regular" w:hAnsi="Times New Roman Regular" w:eastAsia="宋体" w:cs="Times New Roman Regular"/>
                <w:color w:val="000000"/>
                <w:sz w:val="18"/>
                <w:szCs w:val="18"/>
                <w:lang w:eastAsia="zh-CN"/>
              </w:rPr>
              <w:t>、</w:t>
            </w:r>
            <w:r>
              <w:rPr>
                <w:rFonts w:hint="default" w:ascii="Times New Roman Regular" w:hAnsi="Times New Roman Regular" w:eastAsia="宋体" w:cs="Times New Roman Regular"/>
                <w:color w:val="000000"/>
                <w:sz w:val="18"/>
                <w:szCs w:val="18"/>
                <w:lang w:val="en-US" w:eastAsia="zh-CN"/>
              </w:rPr>
              <w:t>总结意见和建议；</w:t>
            </w:r>
          </w:p>
          <w:p w14:paraId="0CB86FF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80844D4">
        <w:trPr>
          <w:trHeight w:val="510" w:hRule="atLeast"/>
          <w:jc w:val="center"/>
        </w:trPr>
        <w:tc>
          <w:tcPr>
            <w:tcW w:w="3107" w:type="pct"/>
            <w:tcBorders>
              <w:tl2br w:val="nil"/>
              <w:tr2bl w:val="nil"/>
            </w:tcBorders>
            <w:shd w:val="clear" w:color="auto" w:fill="auto"/>
            <w:noWrap/>
            <w:vAlign w:val="center"/>
          </w:tcPr>
          <w:p w14:paraId="2BB964A2">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新亚特</w:t>
            </w:r>
            <w:r>
              <w:rPr>
                <w:rFonts w:hint="default" w:ascii="Times New Roman Regular" w:hAnsi="Times New Roman Regular" w:eastAsia="宋体" w:cs="Times New Roman Regular"/>
                <w:sz w:val="18"/>
                <w:szCs w:val="18"/>
                <w:lang w:val="en-US" w:eastAsia="zh-CN"/>
              </w:rPr>
              <w:t>电缆</w:t>
            </w:r>
            <w:r>
              <w:rPr>
                <w:rFonts w:hint="eastAsia" w:ascii="Times New Roman Regular" w:hAnsi="Times New Roman Regular" w:eastAsia="宋体" w:cs="Times New Roman Regular"/>
                <w:sz w:val="18"/>
                <w:szCs w:val="18"/>
                <w:lang w:val="en-US" w:eastAsia="zh-CN"/>
              </w:rPr>
              <w:t>股份</w:t>
            </w:r>
            <w:r>
              <w:rPr>
                <w:rFonts w:hint="default" w:ascii="Times New Roman Regular" w:hAnsi="Times New Roman Regular" w:eastAsia="宋体" w:cs="Times New Roman Regular"/>
                <w:sz w:val="18"/>
                <w:szCs w:val="18"/>
                <w:lang w:val="en-US" w:eastAsia="zh-CN"/>
              </w:rPr>
              <w:t>有限公司、</w:t>
            </w:r>
            <w:r>
              <w:rPr>
                <w:rFonts w:hint="eastAsia" w:ascii="Times New Roman Regular" w:hAnsi="Times New Roman Regular" w:eastAsia="宋体" w:cs="Times New Roman Regular"/>
                <w:sz w:val="18"/>
                <w:szCs w:val="18"/>
                <w:lang w:val="en-US" w:eastAsia="zh-CN"/>
              </w:rPr>
              <w:t>浙江元通线缆制造有限公司、河南通达电缆股份有限公司、惠州市金龙羽电缆实业发展有限公司、辽宁中兴线缆有限公司、昆明明超电缆有限公司、</w:t>
            </w:r>
            <w:r>
              <w:rPr>
                <w:rFonts w:hint="default" w:ascii="Times New Roman Regular" w:hAnsi="Times New Roman Regular" w:eastAsia="宋体" w:cs="Times New Roman Regular"/>
                <w:sz w:val="18"/>
                <w:szCs w:val="18"/>
                <w:lang w:val="en-US" w:eastAsia="zh-CN"/>
              </w:rPr>
              <w:t>江苏红峰电缆集团有限公司、锐洋集团</w:t>
            </w:r>
            <w:r>
              <w:rPr>
                <w:rFonts w:hint="eastAsia" w:ascii="Times New Roman Regular" w:hAnsi="Times New Roman Regular" w:eastAsia="宋体" w:cs="Times New Roman Regular"/>
                <w:sz w:val="18"/>
                <w:szCs w:val="18"/>
                <w:lang w:val="en-US" w:eastAsia="zh-CN"/>
              </w:rPr>
              <w:t>西</w:t>
            </w:r>
            <w:r>
              <w:rPr>
                <w:rFonts w:hint="default" w:ascii="Times New Roman Regular" w:hAnsi="Times New Roman Regular" w:eastAsia="宋体" w:cs="Times New Roman Regular"/>
                <w:sz w:val="18"/>
                <w:szCs w:val="18"/>
                <w:lang w:val="en-US" w:eastAsia="zh-CN"/>
              </w:rPr>
              <w:t>北电缆有限公司</w:t>
            </w:r>
            <w:r>
              <w:rPr>
                <w:rFonts w:hint="eastAsia" w:ascii="Times New Roman Regular" w:hAnsi="Times New Roman Regular" w:eastAsia="宋体" w:cs="Times New Roman Regular"/>
                <w:sz w:val="18"/>
                <w:szCs w:val="18"/>
                <w:lang w:val="en-US" w:eastAsia="zh-CN"/>
              </w:rPr>
              <w:t>、</w:t>
            </w:r>
            <w:r>
              <w:rPr>
                <w:rFonts w:hint="default" w:ascii="Times New Roman Regular" w:hAnsi="Times New Roman Regular" w:eastAsia="宋体" w:cs="Times New Roman Regular"/>
                <w:sz w:val="18"/>
                <w:szCs w:val="18"/>
                <w:lang w:val="en-US" w:eastAsia="zh-CN"/>
              </w:rPr>
              <w:t>锐洋集团东北电缆有限公司、东北塑力电缆有限公司</w:t>
            </w:r>
            <w:r>
              <w:rPr>
                <w:rFonts w:hint="eastAsia" w:ascii="Times New Roman Regular" w:hAnsi="Times New Roman Regular" w:eastAsia="宋体" w:cs="Times New Roman Regular"/>
                <w:sz w:val="18"/>
                <w:szCs w:val="18"/>
                <w:lang w:val="en-US" w:eastAsia="zh-CN"/>
              </w:rPr>
              <w:t>、</w:t>
            </w:r>
            <w:r>
              <w:rPr>
                <w:rFonts w:hint="default" w:ascii="Times New Roman Regular" w:hAnsi="Times New Roman Regular" w:eastAsia="宋体" w:cs="Times New Roman Regular"/>
                <w:sz w:val="18"/>
                <w:szCs w:val="18"/>
              </w:rPr>
              <w:t>江苏亨通电力电缆有限公司</w:t>
            </w:r>
          </w:p>
        </w:tc>
        <w:tc>
          <w:tcPr>
            <w:tcW w:w="1892" w:type="pct"/>
            <w:tcBorders>
              <w:tl2br w:val="nil"/>
              <w:tr2bl w:val="nil"/>
            </w:tcBorders>
            <w:shd w:val="clear" w:color="auto" w:fill="auto"/>
            <w:noWrap/>
            <w:vAlign w:val="center"/>
          </w:tcPr>
          <w:p w14:paraId="5F0A16C0">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27C3660D">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bl>
    <w:p w14:paraId="77E6EDB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kern w:val="2"/>
          <w:sz w:val="21"/>
          <w:szCs w:val="21"/>
          <w:lang w:val="en-US" w:eastAsia="zh-CN"/>
        </w:rPr>
        <w:t>2024年</w:t>
      </w:r>
      <w:r>
        <w:rPr>
          <w:rFonts w:hint="eastAsia" w:ascii="Times New Roman Regular" w:hAnsi="Times New Roman Regular" w:eastAsia="宋体" w:cs="Times New Roman Regular"/>
          <w:kern w:val="2"/>
          <w:sz w:val="21"/>
          <w:szCs w:val="21"/>
          <w:lang w:val="en-US" w:eastAsia="zh-CN"/>
        </w:rPr>
        <w:t>9</w:t>
      </w:r>
      <w:r>
        <w:rPr>
          <w:rFonts w:hint="default" w:ascii="Times New Roman Regular" w:hAnsi="Times New Roman Regular" w:eastAsia="宋体" w:cs="Times New Roman Regular"/>
          <w:kern w:val="2"/>
          <w:sz w:val="21"/>
          <w:szCs w:val="21"/>
          <w:lang w:val="en-US" w:eastAsia="zh-CN"/>
        </w:rPr>
        <w:t>月</w:t>
      </w:r>
      <w:r>
        <w:rPr>
          <w:rFonts w:hint="eastAsia" w:ascii="Times New Roman Regular" w:hAnsi="Times New Roman Regular" w:eastAsia="宋体" w:cs="Times New Roman Regular"/>
          <w:kern w:val="2"/>
          <w:sz w:val="21"/>
          <w:szCs w:val="21"/>
          <w:lang w:val="en-US" w:eastAsia="zh-CN"/>
        </w:rPr>
        <w:t>至10月</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根据五大发电集团、设计院、制造企业和检测机构等单位</w:t>
      </w:r>
      <w:r>
        <w:rPr>
          <w:rFonts w:hint="default" w:ascii="Times New Roman Regular" w:hAnsi="Times New Roman Regular" w:eastAsia="宋体" w:cs="Times New Roman Regular"/>
          <w:kern w:val="2"/>
          <w:sz w:val="21"/>
          <w:szCs w:val="21"/>
        </w:rPr>
        <w:t>调研反馈结果</w:t>
      </w:r>
      <w:r>
        <w:rPr>
          <w:rFonts w:hint="default" w:ascii="Times New Roman Regular" w:hAnsi="Times New Roman Regular" w:eastAsia="宋体" w:cs="Times New Roman Regular"/>
          <w:sz w:val="21"/>
          <w:szCs w:val="21"/>
        </w:rPr>
        <w:t>，</w:t>
      </w:r>
      <w:bookmarkStart w:id="72" w:name="_Hlk135919098"/>
      <w:r>
        <w:rPr>
          <w:rFonts w:hint="default" w:ascii="Times New Roman Regular" w:hAnsi="Times New Roman Regular" w:eastAsia="宋体" w:cs="Times New Roman Regular"/>
          <w:sz w:val="21"/>
          <w:szCs w:val="21"/>
        </w:rPr>
        <w:t>对</w:t>
      </w:r>
      <w:r>
        <w:rPr>
          <w:rFonts w:hint="eastAsia" w:ascii="Times New Roman Regular" w:hAnsi="Times New Roman Regular" w:eastAsia="宋体" w:cs="Times New Roman Regular"/>
          <w:sz w:val="21"/>
          <w:szCs w:val="21"/>
          <w:lang w:val="en-US" w:eastAsia="zh-CN"/>
        </w:rPr>
        <w:t>计算机与仪表屏蔽电缆</w:t>
      </w:r>
      <w:r>
        <w:rPr>
          <w:rFonts w:hint="default" w:ascii="Times New Roman Regular" w:hAnsi="Times New Roman Regular" w:eastAsia="宋体" w:cs="Times New Roman Regular"/>
          <w:sz w:val="21"/>
          <w:szCs w:val="21"/>
          <w:lang w:val="en-US" w:eastAsia="zh-CN"/>
        </w:rPr>
        <w:t>招投标</w:t>
      </w:r>
      <w:r>
        <w:rPr>
          <w:rFonts w:hint="default" w:ascii="Times New Roman Regular" w:hAnsi="Times New Roman Regular" w:eastAsia="宋体" w:cs="Times New Roman Regular"/>
          <w:sz w:val="21"/>
          <w:szCs w:val="21"/>
        </w:rPr>
        <w:t>应具备的一般要求、技术要求、</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要求进行归纳，完成</w:t>
      </w:r>
      <w:r>
        <w:rPr>
          <w:rFonts w:hint="eastAsia"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工作组讨论稿》（V1.0）</w:t>
      </w:r>
      <w:r>
        <w:rPr>
          <w:rFonts w:hint="default" w:ascii="Times New Roman Regular" w:hAnsi="Times New Roman Regular" w:eastAsia="宋体" w:cs="Times New Roman Regular"/>
          <w:sz w:val="21"/>
          <w:szCs w:val="21"/>
        </w:rPr>
        <w:t>。</w:t>
      </w:r>
    </w:p>
    <w:bookmarkEnd w:id="72"/>
    <w:p w14:paraId="7D706CBE">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eastAsia"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10</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23日，召开《发电企业电线电缆采购技术规范 第8部分：计算机与仪表屏蔽电缆》第一次编制工作会，审议《工作组讨论稿》</w:t>
      </w:r>
      <w:r>
        <w:rPr>
          <w:rFonts w:hint="eastAsia" w:ascii="Times New Roman Regular" w:hAnsi="Times New Roman Regular" w:eastAsia="宋体" w:cs="Times New Roman Regular"/>
          <w:sz w:val="21"/>
          <w:szCs w:val="21"/>
          <w:lang w:val="en-US" w:eastAsia="zh-CN"/>
        </w:rPr>
        <w:t>（V1.0）</w:t>
      </w:r>
      <w:r>
        <w:rPr>
          <w:rFonts w:hint="eastAsia" w:ascii="Times New Roman Regular" w:hAnsi="Times New Roman Regular" w:eastAsia="宋体" w:cs="Times New Roman Regular"/>
          <w:b w:val="0"/>
          <w:kern w:val="2"/>
          <w:sz w:val="21"/>
          <w:szCs w:val="21"/>
          <w:lang w:val="en-US" w:eastAsia="zh-CN"/>
        </w:rPr>
        <w:t>。</w:t>
      </w:r>
    </w:p>
    <w:p w14:paraId="73ADC946">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rPr>
      </w:pPr>
      <w:r>
        <w:rPr>
          <w:rFonts w:hint="default" w:ascii="Times New Roman Regular" w:hAnsi="Times New Roman Regular" w:eastAsia="宋体" w:cs="Times New Roman Regular"/>
          <w:kern w:val="2"/>
          <w:sz w:val="21"/>
          <w:szCs w:val="21"/>
        </w:rPr>
        <w:t>202</w:t>
      </w:r>
      <w:r>
        <w:rPr>
          <w:rFonts w:hint="default" w:ascii="Times New Roman Regular" w:hAnsi="Times New Roman Regular" w:eastAsia="宋体" w:cs="Times New Roman Regular"/>
          <w:kern w:val="2"/>
          <w:sz w:val="21"/>
          <w:szCs w:val="21"/>
          <w:lang w:val="en-US" w:eastAsia="zh-CN"/>
        </w:rPr>
        <w:t>4</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11月—2025年2</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编制组根据第一次编制工作会意见进行修订</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形成</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w:t>
      </w:r>
      <w:r>
        <w:rPr>
          <w:rFonts w:hint="default" w:ascii="Times New Roman Regular" w:hAnsi="Times New Roman Regular" w:eastAsia="宋体" w:cs="Times New Roman Regular"/>
          <w:sz w:val="21"/>
          <w:szCs w:val="21"/>
          <w:lang w:val="en-US" w:eastAsia="zh-CN"/>
        </w:rPr>
        <w:t>》</w:t>
      </w:r>
      <w:r>
        <w:rPr>
          <w:rFonts w:hint="eastAsia" w:ascii="Times New Roman Regular" w:hAnsi="Times New Roman Regular" w:eastAsia="宋体" w:cs="Times New Roman Regular"/>
          <w:sz w:val="21"/>
          <w:szCs w:val="21"/>
          <w:lang w:val="en-US" w:eastAsia="zh-CN"/>
        </w:rPr>
        <w:t>（V2.0）</w:t>
      </w:r>
      <w:r>
        <w:rPr>
          <w:rFonts w:hint="default" w:ascii="Times New Roman Regular" w:hAnsi="Times New Roman Regular" w:eastAsia="宋体" w:cs="Times New Roman Regular"/>
          <w:kern w:val="2"/>
          <w:sz w:val="21"/>
          <w:szCs w:val="21"/>
        </w:rPr>
        <w:t>。</w:t>
      </w:r>
    </w:p>
    <w:p w14:paraId="346B29A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2—7</w:t>
      </w:r>
      <w:r>
        <w:rPr>
          <w:rFonts w:hint="default" w:ascii="Times New Roman Regular" w:hAnsi="Times New Roman Regular" w:eastAsia="宋体" w:cs="Times New Roman Regular"/>
          <w:kern w:val="2"/>
          <w:sz w:val="21"/>
          <w:szCs w:val="21"/>
        </w:rPr>
        <w:t>月，</w:t>
      </w:r>
      <w:r>
        <w:rPr>
          <w:rFonts w:hint="eastAsia" w:ascii="Times New Roman Regular" w:hAnsi="Times New Roman Regular" w:eastAsia="宋体" w:cs="Times New Roman Regular"/>
          <w:kern w:val="2"/>
          <w:sz w:val="21"/>
          <w:szCs w:val="21"/>
          <w:lang w:val="en-US" w:eastAsia="zh-CN"/>
        </w:rPr>
        <w:t>编制组就《工作组讨论稿》</w:t>
      </w:r>
      <w:r>
        <w:rPr>
          <w:rFonts w:hint="eastAsia" w:ascii="Times New Roman Regular" w:hAnsi="Times New Roman Regular" w:eastAsia="宋体" w:cs="Times New Roman Regular"/>
          <w:sz w:val="21"/>
          <w:szCs w:val="21"/>
          <w:lang w:val="en-US" w:eastAsia="zh-CN"/>
        </w:rPr>
        <w:t>（V2.0）</w:t>
      </w:r>
      <w:r>
        <w:rPr>
          <w:rFonts w:hint="eastAsia" w:ascii="Times New Roman Regular" w:hAnsi="Times New Roman Regular" w:eastAsia="宋体" w:cs="Times New Roman Regular"/>
          <w:kern w:val="2"/>
          <w:sz w:val="21"/>
          <w:szCs w:val="21"/>
          <w:lang w:val="en-US" w:eastAsia="zh-CN"/>
        </w:rPr>
        <w:t>广泛征求终端采购单位、设计院、制造企业和检测机构意见，修订完成《征求意见稿》。</w:t>
      </w:r>
    </w:p>
    <w:p w14:paraId="5FB151CC">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7</w:t>
      </w:r>
      <w:bookmarkStart w:id="245" w:name="_GoBack"/>
      <w:bookmarkEnd w:id="245"/>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，发布征求意见</w:t>
      </w:r>
      <w:r>
        <w:rPr>
          <w:rFonts w:hint="eastAsia" w:ascii="Times New Roman Regular" w:hAnsi="Times New Roman Regular" w:eastAsia="宋体" w:cs="Times New Roman Regular"/>
          <w:kern w:val="2"/>
          <w:sz w:val="21"/>
          <w:szCs w:val="21"/>
          <w:lang w:val="en-US" w:eastAsia="zh-CN"/>
        </w:rPr>
        <w:t>稿</w:t>
      </w:r>
      <w:r>
        <w:rPr>
          <w:rFonts w:hint="default" w:ascii="Times New Roman Regular" w:hAnsi="Times New Roman Regular" w:eastAsia="宋体" w:cs="Times New Roman Regular"/>
          <w:kern w:val="2"/>
          <w:sz w:val="21"/>
          <w:szCs w:val="21"/>
          <w:lang w:val="en-US" w:eastAsia="zh-CN"/>
        </w:rPr>
        <w:t>，面向社会公开征求意见。</w:t>
      </w:r>
    </w:p>
    <w:p w14:paraId="0E795D48">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73" w:name="_Toc18777"/>
      <w:bookmarkStart w:id="74" w:name="_Toc31329"/>
      <w:bookmarkStart w:id="75" w:name="_Toc17300"/>
      <w:bookmarkStart w:id="76" w:name="_Toc31694"/>
      <w:bookmarkStart w:id="77" w:name="_Toc1523942615"/>
      <w:bookmarkStart w:id="78" w:name="_Toc25549"/>
      <w:bookmarkStart w:id="79" w:name="_Toc22777"/>
      <w:bookmarkStart w:id="80" w:name="_Toc941805515"/>
      <w:bookmarkStart w:id="81" w:name="_Toc1482"/>
      <w:bookmarkStart w:id="82" w:name="_Toc16201"/>
      <w:bookmarkStart w:id="83" w:name="_Toc21766"/>
      <w:bookmarkStart w:id="84" w:name="_Toc17840"/>
      <w:bookmarkStart w:id="85" w:name="_Toc17271"/>
      <w:bookmarkStart w:id="86" w:name="_Toc1326"/>
      <w:r>
        <w:rPr>
          <w:rFonts w:hint="eastAsia" w:ascii="黑体" w:hAnsi="黑体" w:eastAsia="黑体" w:cs="黑体"/>
          <w:b w:val="0"/>
          <w:bCs/>
          <w:sz w:val="28"/>
          <w:szCs w:val="28"/>
          <w:lang w:val="en-US" w:eastAsia="zh-CN"/>
        </w:rPr>
        <w:t>关于标准名称</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0CE2751">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006.1</w:t>
      </w:r>
      <w:r>
        <w:rPr>
          <w:rFonts w:hint="eastAsia" w:ascii="Times New Roman Regular" w:hAnsi="Times New Roman Regular" w:eastAsia="宋体" w:cs="Times New Roman Regular"/>
          <w:sz w:val="21"/>
          <w:szCs w:val="21"/>
          <w:lang w:val="en-US" w:eastAsia="zh-CN"/>
        </w:rPr>
        <w:t>《发电企业电线电缆采购技术规范 第1部分：光伏发电系统用直流电缆》于2025年3月27日正式发布，标准名称由《发电企业电线电缆采购技术标准》改为《发电企业电线电缆采购技术规范》，故本部分</w:t>
      </w:r>
      <w:r>
        <w:rPr>
          <w:rFonts w:hint="default" w:ascii="Times New Roman Regular" w:hAnsi="Times New Roman Regular" w:eastAsia="宋体" w:cs="Times New Roman Regular"/>
          <w:sz w:val="21"/>
          <w:szCs w:val="21"/>
          <w:lang w:val="en-US" w:eastAsia="zh-CN"/>
        </w:rPr>
        <w:t>更名为</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lang w:val="en-US" w:eastAsia="zh-CN"/>
        </w:rPr>
        <w:t>发电企业电线电缆采购技术</w:t>
      </w:r>
      <w:r>
        <w:rPr>
          <w:rFonts w:hint="eastAsia" w:ascii="Times New Roman Regular" w:hAnsi="Times New Roman Regular" w:eastAsia="宋体" w:cs="Times New Roman Regular"/>
          <w:sz w:val="21"/>
          <w:szCs w:val="21"/>
          <w:lang w:val="en-US" w:eastAsia="zh-CN"/>
        </w:rPr>
        <w:t>规范</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8</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sz w:val="21"/>
          <w:szCs w:val="21"/>
          <w:lang w:val="en-US" w:eastAsia="zh-CN"/>
        </w:rPr>
        <w:t>计算机与仪表屏蔽电缆</w:t>
      </w:r>
      <w:r>
        <w:rPr>
          <w:rFonts w:hint="default" w:ascii="Times New Roman Regular" w:hAnsi="Times New Roman Regular" w:eastAsia="宋体" w:cs="Times New Roman Regular"/>
          <w:sz w:val="21"/>
          <w:szCs w:val="21"/>
          <w:lang w:val="en-US" w:eastAsia="zh-CN"/>
        </w:rPr>
        <w:t>》。</w:t>
      </w:r>
    </w:p>
    <w:p w14:paraId="24ADDD12">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87" w:name="_Toc29697"/>
      <w:bookmarkStart w:id="88" w:name="_Toc17477"/>
      <w:bookmarkStart w:id="89" w:name="_Toc10148"/>
      <w:bookmarkStart w:id="90" w:name="_Toc29105"/>
      <w:bookmarkStart w:id="91" w:name="_Toc27860"/>
      <w:bookmarkStart w:id="92" w:name="_Toc2013556183"/>
      <w:bookmarkStart w:id="93" w:name="_Toc766"/>
      <w:bookmarkStart w:id="94" w:name="_Toc250"/>
      <w:bookmarkStart w:id="95" w:name="_Toc23084"/>
      <w:bookmarkStart w:id="96" w:name="_Toc4698"/>
      <w:bookmarkStart w:id="97" w:name="_Toc1970812215"/>
      <w:bookmarkStart w:id="98" w:name="_Toc16264"/>
      <w:bookmarkStart w:id="99" w:name="_Toc21633"/>
      <w:bookmarkStart w:id="100" w:name="_Toc5485"/>
      <w:r>
        <w:rPr>
          <w:rFonts w:hint="eastAsia" w:ascii="黑体" w:hAnsi="黑体" w:eastAsia="黑体" w:cs="黑体"/>
          <w:b w:val="0"/>
          <w:bCs/>
          <w:sz w:val="28"/>
          <w:szCs w:val="28"/>
          <w:lang w:val="en-US" w:eastAsia="zh-CN"/>
        </w:rPr>
        <w:t>标准编制原则</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38C7C8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按照GB/T</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eastAsia="宋体" w:cs="Times New Roman Regular"/>
          <w:sz w:val="21"/>
          <w:szCs w:val="21"/>
        </w:rPr>
        <w:t>1.1</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2020《标准化工作导则第1部分：标准的结构和编写》的要求和规定编写本标准内容。本标准还符合以下原则：</w:t>
      </w:r>
    </w:p>
    <w:p w14:paraId="11BF8C15">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eastAsia" w:ascii="黑体" w:hAnsi="黑体" w:eastAsia="黑体" w:cs="黑体"/>
          <w:b w:val="0"/>
          <w:bCs w:val="0"/>
          <w:sz w:val="24"/>
          <w:szCs w:val="24"/>
        </w:rPr>
      </w:pPr>
      <w:bookmarkStart w:id="101" w:name="_Toc11837"/>
      <w:bookmarkStart w:id="102" w:name="_Toc22135"/>
      <w:bookmarkStart w:id="103" w:name="_Toc7095"/>
      <w:bookmarkStart w:id="104" w:name="_Toc629"/>
      <w:bookmarkStart w:id="105" w:name="_Toc653126177"/>
      <w:bookmarkStart w:id="106" w:name="_Toc1791458255"/>
      <w:bookmarkStart w:id="107" w:name="_Toc2507"/>
      <w:r>
        <w:rPr>
          <w:rFonts w:hint="eastAsia" w:ascii="黑体" w:hAnsi="黑体" w:eastAsia="黑体" w:cs="黑体"/>
          <w:b w:val="0"/>
          <w:bCs w:val="0"/>
          <w:sz w:val="24"/>
          <w:szCs w:val="24"/>
        </w:rPr>
        <w:t>（一）</w:t>
      </w:r>
      <w:r>
        <w:rPr>
          <w:rFonts w:hint="eastAsia" w:ascii="黑体" w:hAnsi="黑体" w:eastAsia="黑体" w:cs="黑体"/>
          <w:b w:val="0"/>
          <w:bCs w:val="0"/>
          <w:sz w:val="24"/>
          <w:szCs w:val="24"/>
          <w:lang w:val="en-US" w:eastAsia="zh-CN"/>
        </w:rPr>
        <w:t>一致性</w:t>
      </w:r>
      <w:r>
        <w:rPr>
          <w:rFonts w:hint="eastAsia" w:ascii="黑体" w:hAnsi="黑体" w:eastAsia="黑体" w:cs="黑体"/>
          <w:b w:val="0"/>
          <w:bCs w:val="0"/>
          <w:sz w:val="24"/>
          <w:szCs w:val="24"/>
        </w:rPr>
        <w:t>原则</w:t>
      </w:r>
      <w:bookmarkEnd w:id="101"/>
      <w:bookmarkEnd w:id="102"/>
      <w:bookmarkEnd w:id="103"/>
      <w:bookmarkEnd w:id="104"/>
      <w:bookmarkEnd w:id="105"/>
      <w:bookmarkEnd w:id="106"/>
      <w:bookmarkEnd w:id="107"/>
    </w:p>
    <w:p w14:paraId="35115F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eastAsia="zh-CN"/>
        </w:rPr>
      </w:pPr>
      <w:r>
        <w:rPr>
          <w:rFonts w:hint="default" w:ascii="Times New Roman Regular" w:hAnsi="Times New Roman Regular" w:eastAsia="宋体" w:cs="Times New Roman Regular"/>
          <w:sz w:val="21"/>
          <w:szCs w:val="21"/>
        </w:rPr>
        <w:t>本标准在起草过程中，认真对照国家标准中的有关规定，使本标准所</w:t>
      </w:r>
      <w:r>
        <w:rPr>
          <w:rFonts w:hint="default" w:ascii="Times New Roman Regular" w:hAnsi="Times New Roman Regular" w:eastAsia="宋体" w:cs="Times New Roman Regular"/>
          <w:sz w:val="21"/>
          <w:szCs w:val="21"/>
          <w:lang w:eastAsia="zh-CN"/>
        </w:rPr>
        <w:t>涉及的法律法规</w:t>
      </w:r>
      <w:r>
        <w:rPr>
          <w:rFonts w:hint="default" w:ascii="Times New Roman Regular" w:hAnsi="Times New Roman Regular" w:eastAsia="宋体" w:cs="Times New Roman Regular"/>
          <w:sz w:val="21"/>
          <w:szCs w:val="21"/>
        </w:rPr>
        <w:t>问题有据可依，与国家相关</w:t>
      </w:r>
      <w:r>
        <w:rPr>
          <w:rFonts w:hint="default" w:ascii="Times New Roman Regular" w:hAnsi="Times New Roman Regular" w:eastAsia="宋体" w:cs="Times New Roman Regular"/>
          <w:sz w:val="21"/>
          <w:szCs w:val="21"/>
          <w:lang w:eastAsia="zh-CN"/>
        </w:rPr>
        <w:t>法律法规</w:t>
      </w:r>
      <w:r>
        <w:rPr>
          <w:rFonts w:hint="default" w:ascii="Times New Roman Regular" w:hAnsi="Times New Roman Regular" w:eastAsia="宋体" w:cs="Times New Roman Regular"/>
          <w:sz w:val="21"/>
          <w:szCs w:val="21"/>
        </w:rPr>
        <w:t>保持一致</w:t>
      </w:r>
      <w:r>
        <w:rPr>
          <w:rFonts w:hint="default" w:ascii="Times New Roman Regular" w:hAnsi="Times New Roman Regular" w:eastAsia="宋体" w:cs="Times New Roman Regular"/>
          <w:sz w:val="21"/>
          <w:szCs w:val="21"/>
          <w:lang w:eastAsia="zh-CN"/>
        </w:rPr>
        <w:t>。</w:t>
      </w:r>
    </w:p>
    <w:p w14:paraId="49EECBA8">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lang w:val="en-US" w:eastAsia="zh-CN"/>
        </w:rPr>
      </w:pPr>
      <w:bookmarkStart w:id="108" w:name="_Toc8568"/>
      <w:bookmarkStart w:id="109" w:name="_Toc15922"/>
      <w:bookmarkStart w:id="110" w:name="_Toc9906"/>
      <w:bookmarkStart w:id="111" w:name="_Toc1975"/>
      <w:bookmarkStart w:id="112" w:name="_Toc1783"/>
      <w:bookmarkStart w:id="113" w:name="_Toc19756"/>
      <w:bookmarkStart w:id="114" w:name="_Toc1318160845"/>
      <w:bookmarkStart w:id="115" w:name="_Toc1302737022"/>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二</w:t>
      </w:r>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先进性原则</w:t>
      </w:r>
      <w:bookmarkEnd w:id="108"/>
      <w:bookmarkEnd w:id="109"/>
      <w:bookmarkEnd w:id="110"/>
      <w:bookmarkEnd w:id="111"/>
      <w:bookmarkEnd w:id="112"/>
      <w:bookmarkEnd w:id="113"/>
      <w:bookmarkEnd w:id="114"/>
      <w:bookmarkEnd w:id="115"/>
    </w:p>
    <w:p w14:paraId="4C369DC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本标准编制过程中，在充分调研的基础上，吸收了国内外同类企业和团体的技术标准和水平，在预期可达到的条件下，积极将有关新技术纳入标准，维持标准的先进性</w:t>
      </w:r>
      <w:r>
        <w:rPr>
          <w:rFonts w:hint="default" w:ascii="Times New Roman Regular" w:hAnsi="Times New Roman Regular" w:eastAsia="宋体" w:cs="Times New Roman Regular"/>
          <w:sz w:val="21"/>
          <w:szCs w:val="21"/>
          <w:lang w:eastAsia="zh-CN"/>
        </w:rPr>
        <w:t>。</w:t>
      </w:r>
    </w:p>
    <w:p w14:paraId="5B801294">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16" w:name="_Toc11494"/>
      <w:bookmarkStart w:id="117" w:name="_Toc9954"/>
      <w:bookmarkStart w:id="118" w:name="_Toc1505347589"/>
      <w:bookmarkStart w:id="119" w:name="_Toc22068"/>
      <w:bookmarkStart w:id="120" w:name="_Toc888019463"/>
      <w:bookmarkStart w:id="121" w:name="_Toc32176"/>
      <w:bookmarkStart w:id="122" w:name="_Toc473"/>
      <w:bookmarkStart w:id="123" w:name="_Toc6626"/>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三</w:t>
      </w:r>
      <w:r>
        <w:rPr>
          <w:rFonts w:hint="default" w:ascii="黑体" w:hAnsi="黑体" w:eastAsia="黑体" w:cs="黑体"/>
          <w:b w:val="0"/>
          <w:bCs w:val="0"/>
          <w:sz w:val="24"/>
          <w:szCs w:val="24"/>
        </w:rPr>
        <w:t>）协调性原则</w:t>
      </w:r>
      <w:bookmarkEnd w:id="116"/>
      <w:bookmarkEnd w:id="117"/>
      <w:bookmarkEnd w:id="118"/>
      <w:bookmarkEnd w:id="119"/>
      <w:bookmarkEnd w:id="120"/>
      <w:bookmarkEnd w:id="121"/>
      <w:bookmarkEnd w:id="122"/>
      <w:bookmarkEnd w:id="123"/>
    </w:p>
    <w:p w14:paraId="5C6D246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本标准在框架结构、层次的编写、要素的表述、编排格式等方面的要求尽可能与</w:t>
      </w:r>
      <w:r>
        <w:rPr>
          <w:rFonts w:hint="default" w:ascii="Times New Roman Regular" w:hAnsi="Times New Roman Regular" w:eastAsia="宋体" w:cs="Times New Roman Regular"/>
          <w:sz w:val="21"/>
          <w:szCs w:val="21"/>
          <w:lang w:val="en-US" w:eastAsia="zh-CN"/>
        </w:rPr>
        <w:t>光伏电缆行业标准、国际标准</w:t>
      </w:r>
      <w:r>
        <w:rPr>
          <w:rFonts w:hint="default" w:ascii="Times New Roman Regular" w:hAnsi="Times New Roman Regular" w:eastAsia="宋体" w:cs="Times New Roman Regular"/>
          <w:sz w:val="21"/>
          <w:szCs w:val="21"/>
        </w:rPr>
        <w:t>相协调。</w:t>
      </w:r>
    </w:p>
    <w:p w14:paraId="622DB5E2">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24" w:name="_Toc26131"/>
      <w:bookmarkStart w:id="125" w:name="_Toc21195"/>
      <w:bookmarkStart w:id="126" w:name="_Toc872083016"/>
      <w:bookmarkStart w:id="127" w:name="_Toc30308"/>
      <w:bookmarkStart w:id="128" w:name="_Toc11207"/>
      <w:bookmarkStart w:id="129" w:name="_Toc25167"/>
      <w:bookmarkStart w:id="130" w:name="_Toc2079251638"/>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四</w:t>
      </w:r>
      <w:r>
        <w:rPr>
          <w:rFonts w:hint="default" w:ascii="黑体" w:hAnsi="黑体" w:eastAsia="黑体" w:cs="黑体"/>
          <w:b w:val="0"/>
          <w:bCs w:val="0"/>
          <w:sz w:val="24"/>
          <w:szCs w:val="24"/>
        </w:rPr>
        <w:t>）可操作性原则</w:t>
      </w:r>
      <w:bookmarkEnd w:id="124"/>
      <w:bookmarkEnd w:id="125"/>
      <w:bookmarkEnd w:id="126"/>
      <w:bookmarkEnd w:id="127"/>
      <w:bookmarkEnd w:id="128"/>
      <w:bookmarkEnd w:id="129"/>
      <w:bookmarkEnd w:id="130"/>
    </w:p>
    <w:p w14:paraId="6395CC42">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本标准充分考虑到</w:t>
      </w:r>
      <w:r>
        <w:rPr>
          <w:rFonts w:hint="eastAsia" w:ascii="Times New Roman Regular" w:hAnsi="Times New Roman Regular" w:eastAsia="宋体" w:cs="Times New Roman Regular"/>
          <w:sz w:val="21"/>
          <w:szCs w:val="21"/>
          <w:lang w:val="en-US" w:eastAsia="zh-CN"/>
        </w:rPr>
        <w:t>计算机与仪表屏蔽电缆</w:t>
      </w:r>
      <w:r>
        <w:rPr>
          <w:rFonts w:hint="default" w:ascii="Times New Roman Regular" w:hAnsi="Times New Roman Regular" w:eastAsia="宋体" w:cs="Times New Roman Regular"/>
          <w:sz w:val="21"/>
          <w:szCs w:val="21"/>
          <w:lang w:val="en-US" w:eastAsia="zh-CN"/>
        </w:rPr>
        <w:t>招投标中</w:t>
      </w:r>
      <w:r>
        <w:rPr>
          <w:rFonts w:hint="default" w:ascii="Times New Roman Regular" w:hAnsi="Times New Roman Regular" w:eastAsia="宋体" w:cs="Times New Roman Regular"/>
          <w:sz w:val="21"/>
          <w:szCs w:val="21"/>
        </w:rPr>
        <w:t>存在的问题，归纳总结出</w:t>
      </w:r>
      <w:r>
        <w:rPr>
          <w:rFonts w:hint="eastAsia" w:ascii="Times New Roman Regular" w:hAnsi="Times New Roman Regular" w:eastAsia="宋体" w:cs="Times New Roman Regular"/>
          <w:sz w:val="21"/>
          <w:szCs w:val="21"/>
          <w:lang w:val="en-US" w:eastAsia="zh-CN"/>
        </w:rPr>
        <w:t>计算机与仪表屏蔽电缆</w:t>
      </w:r>
      <w:r>
        <w:rPr>
          <w:rFonts w:hint="default" w:ascii="Times New Roman Regular" w:hAnsi="Times New Roman Regular" w:eastAsia="宋体" w:cs="Times New Roman Regular"/>
          <w:sz w:val="21"/>
          <w:szCs w:val="21"/>
          <w:lang w:val="en-US" w:eastAsia="zh-CN"/>
        </w:rPr>
        <w:t>招投标</w:t>
      </w:r>
      <w:r>
        <w:rPr>
          <w:rFonts w:hint="default" w:ascii="Times New Roman Regular" w:hAnsi="Times New Roman Regular" w:eastAsia="宋体" w:cs="Times New Roman Regular"/>
          <w:sz w:val="21"/>
          <w:szCs w:val="21"/>
        </w:rPr>
        <w:t>的一般要求</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技术要求和</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要求，在提高</w:t>
      </w:r>
      <w:r>
        <w:rPr>
          <w:rFonts w:hint="default" w:ascii="Times New Roman Regular" w:hAnsi="Times New Roman Regular" w:eastAsia="宋体" w:cs="Times New Roman Regular"/>
          <w:sz w:val="21"/>
          <w:szCs w:val="21"/>
          <w:lang w:val="en-US" w:eastAsia="zh-CN"/>
        </w:rPr>
        <w:t>采购</w:t>
      </w:r>
      <w:r>
        <w:rPr>
          <w:rFonts w:hint="default" w:ascii="Times New Roman Regular" w:hAnsi="Times New Roman Regular" w:eastAsia="宋体" w:cs="Times New Roman Regular"/>
          <w:sz w:val="21"/>
          <w:szCs w:val="21"/>
        </w:rPr>
        <w:t>效率、</w:t>
      </w:r>
      <w:r>
        <w:rPr>
          <w:rFonts w:hint="default" w:ascii="Times New Roman Regular" w:hAnsi="Times New Roman Regular" w:eastAsia="宋体" w:cs="Times New Roman Regular"/>
          <w:sz w:val="21"/>
          <w:szCs w:val="21"/>
          <w:lang w:val="en-US" w:eastAsia="zh-CN"/>
        </w:rPr>
        <w:t>降低采购成本</w:t>
      </w:r>
      <w:r>
        <w:rPr>
          <w:rFonts w:hint="default" w:ascii="Times New Roman Regular" w:hAnsi="Times New Roman Regular" w:eastAsia="宋体" w:cs="Times New Roman Regular"/>
          <w:sz w:val="21"/>
          <w:szCs w:val="21"/>
        </w:rPr>
        <w:t>等方面具有较强的可操作性。</w:t>
      </w:r>
    </w:p>
    <w:p w14:paraId="217956FD">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131" w:name="_Toc21031"/>
      <w:bookmarkStart w:id="132" w:name="_Toc10968"/>
      <w:bookmarkStart w:id="133" w:name="_Toc6290"/>
      <w:bookmarkStart w:id="134" w:name="_Toc20175"/>
      <w:bookmarkStart w:id="135" w:name="_Toc2701"/>
      <w:bookmarkStart w:id="136" w:name="_Toc3759"/>
      <w:bookmarkStart w:id="137" w:name="_Toc28592"/>
      <w:bookmarkStart w:id="138" w:name="_Toc1810"/>
      <w:bookmarkStart w:id="139" w:name="_Toc16282"/>
      <w:bookmarkStart w:id="140" w:name="_Toc23960"/>
      <w:bookmarkStart w:id="141" w:name="_Toc9905"/>
      <w:bookmarkStart w:id="142" w:name="_Toc523359137"/>
      <w:bookmarkStart w:id="143" w:name="_Toc2128375882"/>
      <w:r>
        <w:rPr>
          <w:rFonts w:hint="eastAsia" w:ascii="黑体" w:hAnsi="黑体" w:eastAsia="黑体" w:cs="黑体"/>
          <w:b w:val="0"/>
          <w:bCs/>
          <w:sz w:val="28"/>
          <w:szCs w:val="28"/>
          <w:lang w:val="en-US" w:eastAsia="zh-CN"/>
        </w:rPr>
        <w:t>标准主要内容</w:t>
      </w:r>
      <w:bookmarkEnd w:id="131"/>
      <w:bookmarkEnd w:id="132"/>
      <w:bookmarkEnd w:id="133"/>
      <w:bookmarkEnd w:id="134"/>
      <w:bookmarkEnd w:id="135"/>
      <w:bookmarkEnd w:id="136"/>
      <w:bookmarkEnd w:id="137"/>
      <w:bookmarkEnd w:id="138"/>
      <w:bookmarkEnd w:id="139"/>
      <w:bookmarkEnd w:id="140"/>
      <w:bookmarkEnd w:id="141"/>
      <w:r>
        <w:rPr>
          <w:rFonts w:hint="eastAsia" w:ascii="黑体" w:hAnsi="黑体" w:eastAsia="黑体" w:cs="黑体"/>
          <w:b w:val="0"/>
          <w:bCs/>
          <w:sz w:val="28"/>
          <w:szCs w:val="28"/>
          <w:lang w:val="en-US" w:eastAsia="zh-CN"/>
        </w:rPr>
        <w:t>及编制特点</w:t>
      </w:r>
      <w:bookmarkEnd w:id="142"/>
      <w:bookmarkEnd w:id="143"/>
    </w:p>
    <w:p w14:paraId="06D19583">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44" w:name="_Toc3997447"/>
      <w:bookmarkStart w:id="145" w:name="_Toc978340695"/>
      <w:bookmarkStart w:id="146" w:name="_Toc5227"/>
      <w:bookmarkStart w:id="147" w:name="_Toc10765"/>
      <w:bookmarkStart w:id="148" w:name="_Toc2017"/>
      <w:bookmarkStart w:id="149" w:name="_Toc14559"/>
      <w:bookmarkStart w:id="150" w:name="_Toc11516"/>
      <w:bookmarkStart w:id="151" w:name="_Toc1178"/>
      <w:r>
        <w:rPr>
          <w:rFonts w:hint="eastAsia" w:ascii="黑体" w:hAnsi="黑体" w:eastAsia="黑体" w:cs="黑体"/>
          <w:b w:val="0"/>
          <w:bCs w:val="0"/>
          <w:color w:val="000000" w:themeColor="text1"/>
          <w:sz w:val="24"/>
          <w:szCs w:val="24"/>
          <w:lang w:val="en-US" w:eastAsia="zh-CN"/>
          <w14:textFill>
            <w14:solidFill>
              <w14:schemeClr w14:val="tx1"/>
            </w14:solidFill>
          </w14:textFill>
        </w:rPr>
        <w:t>主要内容</w:t>
      </w:r>
      <w:bookmarkEnd w:id="144"/>
      <w:bookmarkEnd w:id="145"/>
    </w:p>
    <w:p w14:paraId="0008E1C7">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52" w:name="_Toc613098672"/>
      <w:bookmarkStart w:id="153" w:name="_Toc1837259433"/>
      <w:r>
        <w:rPr>
          <w:rFonts w:hint="eastAsia" w:ascii="Times New Roman Regular" w:hAnsi="Times New Roman Regular" w:eastAsia="宋体" w:cs="Times New Roman Regular"/>
          <w:b/>
          <w:bCs/>
          <w:kern w:val="2"/>
          <w:sz w:val="21"/>
          <w:szCs w:val="21"/>
          <w:lang w:val="en-US" w:eastAsia="zh-CN"/>
        </w:rPr>
        <w:t>范围</w:t>
      </w:r>
      <w:bookmarkEnd w:id="146"/>
      <w:bookmarkEnd w:id="147"/>
      <w:bookmarkEnd w:id="148"/>
      <w:bookmarkEnd w:id="149"/>
      <w:bookmarkEnd w:id="150"/>
      <w:bookmarkEnd w:id="151"/>
      <w:bookmarkEnd w:id="152"/>
      <w:bookmarkEnd w:id="153"/>
    </w:p>
    <w:p w14:paraId="1010C8AB">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rPr>
      </w:pPr>
      <w:bookmarkStart w:id="154" w:name="_Toc25529"/>
      <w:bookmarkStart w:id="155" w:name="_Toc8409"/>
      <w:bookmarkStart w:id="156" w:name="_Toc19290"/>
      <w:bookmarkStart w:id="157" w:name="_Toc970"/>
      <w:bookmarkStart w:id="158" w:name="_Toc23273"/>
      <w:bookmarkStart w:id="159" w:name="_Toc31433"/>
      <w:r>
        <w:rPr>
          <w:rFonts w:hint="eastAsia" w:ascii="宋体" w:hAnsi="宋体" w:eastAsia="宋体" w:cs="宋体"/>
          <w:b w:val="0"/>
          <w:bCs w:val="0"/>
          <w:color w:val="auto"/>
          <w:kern w:val="0"/>
          <w:sz w:val="21"/>
          <w:szCs w:val="21"/>
          <w:highlight w:val="none"/>
          <w:lang w:val="en-US" w:eastAsia="zh-CN"/>
        </w:rPr>
        <w:t>本文件规定了计算机与仪表屏蔽电缆招标采购的总体要求、通用技术规范</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总体要求，</w:t>
      </w:r>
      <w:r>
        <w:rPr>
          <w:rFonts w:hint="eastAsia" w:ascii="宋体" w:hAnsi="宋体" w:eastAsia="宋体" w:cs="宋体"/>
          <w:b w:val="0"/>
          <w:bCs w:val="0"/>
          <w:color w:val="auto"/>
          <w:kern w:val="0"/>
          <w:sz w:val="21"/>
          <w:szCs w:val="21"/>
          <w:highlight w:val="none"/>
          <w:lang w:val="en-US" w:eastAsia="zh-CN"/>
        </w:rPr>
        <w:t>产品结构和性能要求，检测和试验，现场服务、工厂检验、监造及验收，产品标志、包装、运输和保管，投标时应提供的其他材料）和专用技术规范</w:t>
      </w:r>
      <w:r>
        <w:rPr>
          <w:rFonts w:hint="eastAsia" w:ascii="宋体" w:hAnsi="宋体" w:eastAsia="宋体" w:cs="宋体"/>
          <w:color w:val="auto"/>
          <w:spacing w:val="-1"/>
          <w:sz w:val="21"/>
          <w:szCs w:val="21"/>
          <w:highlight w:val="none"/>
        </w:rPr>
        <w:t>（</w:t>
      </w:r>
      <w:r>
        <w:rPr>
          <w:rFonts w:hint="eastAsia" w:ascii="宋体" w:hAnsi="宋体" w:eastAsia="宋体" w:cs="宋体"/>
          <w:b w:val="0"/>
          <w:bCs w:val="0"/>
          <w:color w:val="auto"/>
          <w:kern w:val="0"/>
          <w:sz w:val="21"/>
          <w:szCs w:val="21"/>
          <w:highlight w:val="none"/>
          <w:lang w:val="en-US" w:eastAsia="zh-CN"/>
        </w:rPr>
        <w:t>工程概况及使用条件、项目需求部分、技术参数和性能要求、供应商响应部分）等内容。</w:t>
      </w:r>
    </w:p>
    <w:p w14:paraId="21117C79">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本文件适用于计算机与仪表屏蔽电缆招标采购活动，供招标采购人和供应商参考使用。</w:t>
      </w:r>
    </w:p>
    <w:p w14:paraId="79449E5D">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0" w:name="_Toc151930218"/>
      <w:bookmarkStart w:id="161" w:name="_Toc722841998"/>
      <w:r>
        <w:rPr>
          <w:rFonts w:hint="default" w:ascii="Times New Roman Regular" w:hAnsi="Times New Roman Regular" w:eastAsia="宋体" w:cs="Times New Roman Regular"/>
          <w:b/>
          <w:bCs/>
          <w:kern w:val="2"/>
          <w:sz w:val="21"/>
          <w:szCs w:val="21"/>
          <w:lang w:val="en-US" w:eastAsia="zh-CN"/>
        </w:rPr>
        <w:t>规范性引用文件</w:t>
      </w:r>
      <w:bookmarkEnd w:id="154"/>
      <w:bookmarkEnd w:id="155"/>
      <w:bookmarkEnd w:id="156"/>
      <w:bookmarkEnd w:id="157"/>
      <w:bookmarkEnd w:id="158"/>
      <w:bookmarkEnd w:id="159"/>
      <w:bookmarkEnd w:id="160"/>
      <w:bookmarkEnd w:id="161"/>
    </w:p>
    <w:p w14:paraId="116354E1">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本部分列明了规范中引用的标准</w:t>
      </w:r>
      <w:r>
        <w:rPr>
          <w:rFonts w:hint="default" w:ascii="Times New Roman Regular" w:hAnsi="Times New Roman Regular" w:eastAsia="宋体" w:cs="Times New Roman Regular"/>
          <w:b w:val="0"/>
          <w:bCs w:val="0"/>
          <w:sz w:val="21"/>
          <w:szCs w:val="21"/>
          <w:lang w:val="en-US" w:eastAsia="zh-CN"/>
        </w:rPr>
        <w:t>文件。</w:t>
      </w:r>
    </w:p>
    <w:p w14:paraId="5AE93EA8">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eastAsia="zh-CN"/>
        </w:rPr>
      </w:pPr>
      <w:r>
        <w:rPr>
          <w:rFonts w:hint="default" w:ascii="Times New Roman Regular" w:hAnsi="Times New Roman Regular" w:eastAsia="宋体" w:cs="Times New Roman Regular"/>
          <w:b w:val="0"/>
          <w:bCs w:val="0"/>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757A99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4  电线电缆电性能试验方法  第4部分：导体直流电阻试验</w:t>
      </w:r>
    </w:p>
    <w:p w14:paraId="2F9F4065">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w:t>
      </w:r>
      <w:r>
        <w:rPr>
          <w:rFonts w:hint="eastAsia" w:ascii="Times New Roman Regular" w:hAnsi="Times New Roman Regular" w:eastAsia="宋体" w:cs="Times New Roman Regular"/>
          <w:b w:val="0"/>
          <w:bCs w:val="0"/>
          <w:kern w:val="0"/>
          <w:sz w:val="21"/>
          <w:szCs w:val="21"/>
          <w:lang w:val="en-US" w:eastAsia="zh-CN"/>
        </w:rPr>
        <w:t>8  电线电缆电性能试验方法  第8部分：交流电压试验</w:t>
      </w:r>
    </w:p>
    <w:p w14:paraId="7270422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3956  电缆的导体</w:t>
      </w:r>
    </w:p>
    <w:p w14:paraId="5DEDF1AE">
      <w:pPr>
        <w:widowControl w:val="0"/>
        <w:numPr>
          <w:ilvl w:val="0"/>
          <w:numId w:val="0"/>
        </w:numPr>
        <w:tabs>
          <w:tab w:val="left" w:pos="420"/>
        </w:tabs>
        <w:spacing w:line="360" w:lineRule="auto"/>
        <w:ind w:firstLine="420" w:firstLineChars="200"/>
        <w:jc w:val="left"/>
        <w:rPr>
          <w:rFonts w:hint="eastAsia"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6995.</w:t>
      </w:r>
      <w:r>
        <w:rPr>
          <w:rFonts w:hint="eastAsia" w:ascii="Times New Roman Regular" w:hAnsi="Times New Roman Regular" w:eastAsia="宋体" w:cs="Times New Roman Regular"/>
          <w:b w:val="0"/>
          <w:bCs w:val="0"/>
          <w:kern w:val="0"/>
          <w:sz w:val="21"/>
          <w:szCs w:val="21"/>
          <w:lang w:val="en-US" w:eastAsia="zh-CN"/>
        </w:rPr>
        <w:t>2</w:t>
      </w:r>
      <w:r>
        <w:rPr>
          <w:rFonts w:hint="default" w:ascii="Times New Roman Regular" w:hAnsi="Times New Roman Regular" w:eastAsia="宋体" w:cs="Times New Roman Regular"/>
          <w:b w:val="0"/>
          <w:bCs w:val="0"/>
          <w:kern w:val="0"/>
          <w:sz w:val="21"/>
          <w:szCs w:val="21"/>
          <w:lang w:val="en-US" w:eastAsia="zh-CN"/>
        </w:rPr>
        <w:t xml:space="preserve">  电线电缆识别标志</w:t>
      </w:r>
      <w:r>
        <w:rPr>
          <w:rFonts w:hint="eastAsia" w:ascii="Times New Roman Regular" w:hAnsi="Times New Roman Regular" w:eastAsia="宋体" w:cs="Times New Roman Regular"/>
          <w:b w:val="0"/>
          <w:bCs w:val="0"/>
          <w:kern w:val="0"/>
          <w:sz w:val="21"/>
          <w:szCs w:val="21"/>
          <w:lang w:val="en-US" w:eastAsia="zh-CN"/>
        </w:rPr>
        <w:t>方法</w:t>
      </w:r>
      <w:r>
        <w:rPr>
          <w:rFonts w:hint="default" w:ascii="Times New Roman Regular" w:hAnsi="Times New Roman Regular" w:eastAsia="宋体" w:cs="Times New Roman Regular"/>
          <w:b w:val="0"/>
          <w:bCs w:val="0"/>
          <w:kern w:val="0"/>
          <w:sz w:val="21"/>
          <w:szCs w:val="21"/>
          <w:lang w:val="en-US" w:eastAsia="zh-CN"/>
        </w:rPr>
        <w:t xml:space="preserve"> 第</w:t>
      </w:r>
      <w:r>
        <w:rPr>
          <w:rFonts w:hint="eastAsia" w:ascii="Times New Roman Regular" w:hAnsi="Times New Roman Regular" w:eastAsia="宋体" w:cs="Times New Roman Regular"/>
          <w:b w:val="0"/>
          <w:bCs w:val="0"/>
          <w:kern w:val="0"/>
          <w:sz w:val="21"/>
          <w:szCs w:val="21"/>
          <w:lang w:val="en-US" w:eastAsia="zh-CN"/>
        </w:rPr>
        <w:t>2</w:t>
      </w:r>
      <w:r>
        <w:rPr>
          <w:rFonts w:hint="default" w:ascii="Times New Roman Regular" w:hAnsi="Times New Roman Regular" w:eastAsia="宋体" w:cs="Times New Roman Regular"/>
          <w:b w:val="0"/>
          <w:bCs w:val="0"/>
          <w:kern w:val="0"/>
          <w:sz w:val="21"/>
          <w:szCs w:val="21"/>
          <w:lang w:val="en-US" w:eastAsia="zh-CN"/>
        </w:rPr>
        <w:t>部分：标准颜色</w:t>
      </w:r>
    </w:p>
    <w:p w14:paraId="29D448BB">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6995.</w:t>
      </w:r>
      <w:r>
        <w:rPr>
          <w:rFonts w:hint="eastAsia" w:ascii="Times New Roman Regular" w:hAnsi="Times New Roman Regular" w:eastAsia="宋体" w:cs="Times New Roman Regular"/>
          <w:b w:val="0"/>
          <w:bCs w:val="0"/>
          <w:kern w:val="0"/>
          <w:sz w:val="21"/>
          <w:szCs w:val="21"/>
          <w:lang w:val="en-US" w:eastAsia="zh-CN"/>
        </w:rPr>
        <w:t>3</w:t>
      </w:r>
      <w:r>
        <w:rPr>
          <w:rFonts w:hint="default" w:ascii="Times New Roman Regular" w:hAnsi="Times New Roman Regular" w:eastAsia="宋体" w:cs="Times New Roman Regular"/>
          <w:b w:val="0"/>
          <w:bCs w:val="0"/>
          <w:kern w:val="0"/>
          <w:sz w:val="21"/>
          <w:szCs w:val="21"/>
          <w:lang w:val="en-US" w:eastAsia="zh-CN"/>
        </w:rPr>
        <w:t xml:space="preserve">  电线电缆识别标志</w:t>
      </w:r>
      <w:r>
        <w:rPr>
          <w:rFonts w:hint="eastAsia" w:ascii="Times New Roman Regular" w:hAnsi="Times New Roman Regular" w:eastAsia="宋体" w:cs="Times New Roman Regular"/>
          <w:b w:val="0"/>
          <w:bCs w:val="0"/>
          <w:kern w:val="0"/>
          <w:sz w:val="21"/>
          <w:szCs w:val="21"/>
          <w:lang w:val="en-US" w:eastAsia="zh-CN"/>
        </w:rPr>
        <w:t>方法</w:t>
      </w:r>
      <w:r>
        <w:rPr>
          <w:rFonts w:hint="default" w:ascii="Times New Roman Regular" w:hAnsi="Times New Roman Regular" w:eastAsia="宋体" w:cs="Times New Roman Regular"/>
          <w:b w:val="0"/>
          <w:bCs w:val="0"/>
          <w:kern w:val="0"/>
          <w:sz w:val="21"/>
          <w:szCs w:val="21"/>
          <w:lang w:val="en-US" w:eastAsia="zh-CN"/>
        </w:rPr>
        <w:t xml:space="preserve"> 第</w:t>
      </w:r>
      <w:r>
        <w:rPr>
          <w:rFonts w:hint="eastAsia" w:ascii="Times New Roman Regular" w:hAnsi="Times New Roman Regular" w:eastAsia="宋体" w:cs="Times New Roman Regular"/>
          <w:b w:val="0"/>
          <w:bCs w:val="0"/>
          <w:kern w:val="0"/>
          <w:sz w:val="21"/>
          <w:szCs w:val="21"/>
          <w:lang w:val="en-US" w:eastAsia="zh-CN"/>
        </w:rPr>
        <w:t>3</w:t>
      </w:r>
      <w:r>
        <w:rPr>
          <w:rFonts w:hint="default" w:ascii="Times New Roman Regular" w:hAnsi="Times New Roman Regular" w:eastAsia="宋体" w:cs="Times New Roman Regular"/>
          <w:b w:val="0"/>
          <w:bCs w:val="0"/>
          <w:kern w:val="0"/>
          <w:sz w:val="21"/>
          <w:szCs w:val="21"/>
          <w:lang w:val="en-US" w:eastAsia="zh-CN"/>
        </w:rPr>
        <w:t>部分：</w:t>
      </w:r>
      <w:r>
        <w:rPr>
          <w:rFonts w:hint="eastAsia" w:ascii="Times New Roman Regular" w:hAnsi="Times New Roman Regular" w:eastAsia="宋体" w:cs="Times New Roman Regular"/>
          <w:b w:val="0"/>
          <w:bCs w:val="0"/>
          <w:kern w:val="0"/>
          <w:sz w:val="21"/>
          <w:szCs w:val="21"/>
          <w:lang w:val="en-US" w:eastAsia="zh-CN"/>
        </w:rPr>
        <w:t>电线电缆识别标志</w:t>
      </w:r>
    </w:p>
    <w:p w14:paraId="31859767">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9330  塑料绝缘控制电缆</w:t>
      </w:r>
    </w:p>
    <w:p w14:paraId="0929642F">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19666  阻燃和耐火电缆通则</w:t>
      </w:r>
    </w:p>
    <w:p w14:paraId="0A18541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 8137</w:t>
      </w:r>
      <w:r>
        <w:rPr>
          <w:rFonts w:hint="eastAsia" w:ascii="Times New Roman Regular" w:hAnsi="Times New Roman Regular" w:eastAsia="宋体" w:cs="Times New Roman Regular"/>
          <w:b w:val="0"/>
          <w:bCs w:val="0"/>
          <w:kern w:val="0"/>
          <w:sz w:val="21"/>
          <w:szCs w:val="21"/>
          <w:lang w:val="en-US" w:eastAsia="zh-CN"/>
        </w:rPr>
        <w:t>（所有部分）</w:t>
      </w:r>
      <w:r>
        <w:rPr>
          <w:rFonts w:hint="default" w:ascii="Times New Roman Regular" w:hAnsi="Times New Roman Regular" w:eastAsia="宋体" w:cs="Times New Roman Regular"/>
          <w:b w:val="0"/>
          <w:bCs w:val="0"/>
          <w:kern w:val="0"/>
          <w:sz w:val="21"/>
          <w:szCs w:val="21"/>
          <w:lang w:val="en-US" w:eastAsia="zh-CN"/>
        </w:rPr>
        <w:t xml:space="preserve">  电线电缆交货盘</w:t>
      </w:r>
    </w:p>
    <w:p w14:paraId="571752D2">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J</w:t>
      </w:r>
      <w:r>
        <w:rPr>
          <w:rFonts w:hint="default" w:ascii="Times New Roman Regular" w:hAnsi="Times New Roman Regular" w:eastAsia="宋体" w:cs="Times New Roman Regular"/>
          <w:b w:val="0"/>
          <w:bCs w:val="0"/>
          <w:kern w:val="0"/>
          <w:sz w:val="21"/>
          <w:szCs w:val="21"/>
          <w:highlight w:val="none"/>
          <w:lang w:val="en-US" w:eastAsia="zh-CN"/>
        </w:rPr>
        <w:t xml:space="preserve">B/T </w:t>
      </w:r>
      <w:r>
        <w:rPr>
          <w:rFonts w:hint="eastAsia" w:ascii="Times New Roman Regular" w:hAnsi="Times New Roman Regular" w:eastAsia="宋体" w:cs="Times New Roman Regular"/>
          <w:b w:val="0"/>
          <w:bCs w:val="0"/>
          <w:kern w:val="0"/>
          <w:sz w:val="21"/>
          <w:szCs w:val="21"/>
          <w:highlight w:val="none"/>
          <w:lang w:val="en-US" w:eastAsia="zh-CN"/>
        </w:rPr>
        <w:t>13486  计算机与仪表屏蔽电缆</w:t>
      </w:r>
    </w:p>
    <w:p w14:paraId="0ED1AC2C">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2" w:name="_Toc19273"/>
      <w:bookmarkStart w:id="163" w:name="_Toc21510"/>
      <w:bookmarkStart w:id="164" w:name="_Toc133117643"/>
      <w:bookmarkStart w:id="165" w:name="_Toc11509"/>
      <w:bookmarkStart w:id="166" w:name="_Toc19178"/>
      <w:bookmarkStart w:id="167" w:name="_Toc490469307"/>
      <w:bookmarkStart w:id="168" w:name="_Toc4210"/>
      <w:bookmarkStart w:id="169" w:name="_Toc404"/>
      <w:r>
        <w:rPr>
          <w:rFonts w:hint="default" w:ascii="Times New Roman Regular" w:hAnsi="Times New Roman Regular" w:eastAsia="宋体" w:cs="Times New Roman Regular"/>
          <w:b/>
          <w:bCs/>
          <w:kern w:val="2"/>
          <w:sz w:val="21"/>
          <w:szCs w:val="21"/>
          <w:lang w:val="en-US" w:eastAsia="zh-CN"/>
        </w:rPr>
        <w:t>术语和定义</w:t>
      </w:r>
      <w:bookmarkEnd w:id="162"/>
      <w:bookmarkEnd w:id="163"/>
      <w:bookmarkEnd w:id="164"/>
      <w:bookmarkEnd w:id="165"/>
      <w:bookmarkEnd w:id="166"/>
      <w:bookmarkEnd w:id="167"/>
      <w:bookmarkEnd w:id="168"/>
      <w:bookmarkEnd w:id="169"/>
    </w:p>
    <w:p w14:paraId="12D5C9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本部分列明了文件中特定的</w:t>
      </w:r>
      <w:r>
        <w:rPr>
          <w:rFonts w:hint="default" w:ascii="Times New Roman Regular" w:hAnsi="Times New Roman Regular" w:eastAsia="宋体" w:cs="Times New Roman Regular"/>
          <w:sz w:val="21"/>
          <w:szCs w:val="21"/>
        </w:rPr>
        <w:t>术语</w:t>
      </w:r>
      <w:r>
        <w:rPr>
          <w:rFonts w:hint="default" w:ascii="Times New Roman Regular" w:hAnsi="Times New Roman Regular" w:eastAsia="宋体" w:cs="Times New Roman Regular"/>
          <w:sz w:val="21"/>
          <w:szCs w:val="21"/>
          <w:lang w:val="en-US" w:eastAsia="zh-CN"/>
        </w:rPr>
        <w:t>及其</w:t>
      </w:r>
      <w:r>
        <w:rPr>
          <w:rFonts w:hint="default" w:ascii="Times New Roman Regular" w:hAnsi="Times New Roman Regular" w:eastAsia="宋体" w:cs="Times New Roman Regular"/>
          <w:sz w:val="21"/>
          <w:szCs w:val="21"/>
        </w:rPr>
        <w:t>定义。</w:t>
      </w:r>
    </w:p>
    <w:p w14:paraId="5ADE278F">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0" w:name="_Toc1275405563"/>
      <w:bookmarkStart w:id="171" w:name="_Toc1777749374"/>
      <w:r>
        <w:rPr>
          <w:rFonts w:hint="eastAsia" w:ascii="Times New Roman Regular" w:hAnsi="Times New Roman Regular" w:eastAsia="宋体" w:cs="Times New Roman Regular"/>
          <w:b/>
          <w:bCs/>
          <w:kern w:val="2"/>
          <w:sz w:val="21"/>
          <w:szCs w:val="21"/>
          <w:lang w:val="en-US" w:eastAsia="zh-CN"/>
        </w:rPr>
        <w:t>总体要求</w:t>
      </w:r>
      <w:bookmarkEnd w:id="170"/>
      <w:bookmarkEnd w:id="171"/>
    </w:p>
    <w:p w14:paraId="4C89320A">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w:t>
      </w:r>
      <w:r>
        <w:rPr>
          <w:rFonts w:hint="eastAsia" w:ascii="Times New Roman Regular" w:hAnsi="Times New Roman Regular" w:eastAsia="宋体" w:cs="Times New Roman Regular"/>
          <w:sz w:val="21"/>
          <w:szCs w:val="21"/>
          <w:lang w:val="en-US" w:eastAsia="zh-CN"/>
        </w:rPr>
        <w:t>提出了计算机与仪表屏蔽电缆采购需求制定的一般规定</w:t>
      </w:r>
      <w:r>
        <w:rPr>
          <w:rFonts w:hint="default" w:ascii="Times New Roman Regular" w:hAnsi="Times New Roman Regular" w:eastAsia="宋体" w:cs="Times New Roman Regular"/>
          <w:sz w:val="21"/>
          <w:szCs w:val="21"/>
          <w:lang w:val="en-US" w:eastAsia="zh-CN"/>
        </w:rPr>
        <w:t>。</w:t>
      </w:r>
    </w:p>
    <w:p w14:paraId="51C33652">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2" w:name="_Toc15238"/>
      <w:bookmarkStart w:id="173" w:name="_Toc22597"/>
      <w:bookmarkStart w:id="174" w:name="_Toc22338"/>
      <w:bookmarkStart w:id="175" w:name="_Toc3275"/>
      <w:bookmarkStart w:id="176" w:name="_Toc1707016634"/>
      <w:bookmarkStart w:id="177" w:name="_Toc20142"/>
      <w:bookmarkStart w:id="178" w:name="_Toc693748107"/>
      <w:bookmarkStart w:id="179" w:name="_Toc10399"/>
      <w:r>
        <w:rPr>
          <w:rFonts w:hint="default" w:ascii="Times New Roman Regular" w:hAnsi="Times New Roman Regular" w:eastAsia="宋体" w:cs="Times New Roman Regular"/>
          <w:b/>
          <w:bCs/>
          <w:kern w:val="2"/>
          <w:sz w:val="21"/>
          <w:szCs w:val="21"/>
          <w:lang w:val="en-US" w:eastAsia="zh-CN"/>
        </w:rPr>
        <w:t>通用技术规范</w:t>
      </w:r>
      <w:bookmarkEnd w:id="172"/>
      <w:bookmarkEnd w:id="173"/>
      <w:bookmarkEnd w:id="174"/>
      <w:bookmarkEnd w:id="175"/>
      <w:bookmarkEnd w:id="176"/>
      <w:bookmarkEnd w:id="177"/>
      <w:bookmarkEnd w:id="178"/>
      <w:bookmarkEnd w:id="179"/>
    </w:p>
    <w:p w14:paraId="0F967C8F">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宋体" w:hAnsi="宋体" w:eastAsia="宋体" w:cs="宋体"/>
          <w:sz w:val="21"/>
          <w:szCs w:val="21"/>
          <w:lang w:val="en-US" w:eastAsia="zh-CN"/>
        </w:rPr>
        <w:t>“</w:t>
      </w:r>
      <w:r>
        <w:rPr>
          <w:rFonts w:hint="eastAsia" w:ascii="Times New Roman Regular" w:hAnsi="Times New Roman Regular" w:eastAsia="宋体" w:cs="Times New Roman Regular"/>
          <w:b w:val="0"/>
          <w:bCs w:val="0"/>
          <w:sz w:val="21"/>
          <w:szCs w:val="21"/>
          <w:lang w:val="en-US" w:eastAsia="zh-CN"/>
        </w:rPr>
        <w:t>通用要求”“产品型号</w:t>
      </w:r>
      <w:r>
        <w:rPr>
          <w:rFonts w:hint="default" w:ascii="Times New Roman Regular" w:hAnsi="Times New Roman Regular" w:eastAsia="宋体" w:cs="Times New Roman Regular"/>
          <w:sz w:val="21"/>
          <w:szCs w:val="21"/>
          <w:lang w:val="en-US" w:eastAsia="zh-CN"/>
        </w:rPr>
        <w:t>和</w:t>
      </w:r>
      <w:r>
        <w:rPr>
          <w:rFonts w:hint="eastAsia" w:ascii="Times New Roman Regular" w:hAnsi="Times New Roman Regular" w:eastAsia="宋体" w:cs="Times New Roman Regular"/>
          <w:sz w:val="21"/>
          <w:szCs w:val="21"/>
          <w:lang w:val="en-US" w:eastAsia="zh-CN"/>
        </w:rPr>
        <w:t>相关</w:t>
      </w:r>
      <w:r>
        <w:rPr>
          <w:rFonts w:hint="default" w:ascii="Times New Roman Regular" w:hAnsi="Times New Roman Regular" w:eastAsia="宋体" w:cs="Times New Roman Regular"/>
          <w:sz w:val="21"/>
          <w:szCs w:val="21"/>
          <w:lang w:val="en-US" w:eastAsia="zh-CN"/>
        </w:rPr>
        <w:t>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检验和试验</w:t>
      </w:r>
      <w:r>
        <w:rPr>
          <w:rFonts w:hint="eastAsia" w:ascii="Times New Roman Regular" w:hAnsi="Times New Roman Regular" w:eastAsia="宋体" w:cs="Times New Roman Regular"/>
          <w:sz w:val="21"/>
          <w:szCs w:val="21"/>
          <w:lang w:val="en-US" w:eastAsia="zh-CN"/>
        </w:rPr>
        <w:t>”“现场</w:t>
      </w:r>
      <w:r>
        <w:rPr>
          <w:rFonts w:hint="default" w:ascii="Times New Roman Regular" w:hAnsi="Times New Roman Regular" w:eastAsia="宋体" w:cs="Times New Roman Regular"/>
          <w:sz w:val="21"/>
          <w:szCs w:val="21"/>
          <w:lang w:val="en-US" w:eastAsia="zh-CN"/>
        </w:rPr>
        <w:t>服务、工厂检验、监造及验收</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产品标志、包装、运输和保管</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投标时应提供的其他资料</w:t>
      </w:r>
      <w:r>
        <w:rPr>
          <w:rFonts w:hint="eastAsia" w:ascii="宋体" w:hAnsi="宋体" w:eastAsia="宋体" w:cs="宋体"/>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28E18659">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通用技术规范部分主要介绍</w:t>
      </w:r>
      <w:r>
        <w:rPr>
          <w:rFonts w:hint="eastAsia" w:ascii="Times New Roman Regular" w:hAnsi="Times New Roman Regular" w:eastAsia="宋体" w:cs="Times New Roman Regular"/>
          <w:sz w:val="21"/>
          <w:szCs w:val="21"/>
          <w:lang w:val="en-US" w:eastAsia="zh-CN"/>
        </w:rPr>
        <w:t>计算机与仪表屏蔽电缆</w:t>
      </w:r>
      <w:r>
        <w:rPr>
          <w:rFonts w:hint="default" w:ascii="Times New Roman Regular" w:hAnsi="Times New Roman Regular" w:eastAsia="宋体" w:cs="Times New Roman Regular"/>
          <w:sz w:val="21"/>
          <w:szCs w:val="21"/>
          <w:lang w:val="en-US" w:eastAsia="zh-CN"/>
        </w:rPr>
        <w:t>招投标的一般要求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工艺结构、性能要求及检验验收。</w:t>
      </w:r>
    </w:p>
    <w:p w14:paraId="44AC21A9">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0" w:name="_Toc15538"/>
      <w:bookmarkStart w:id="181" w:name="_Toc12972"/>
      <w:bookmarkStart w:id="182" w:name="_Toc14889"/>
      <w:bookmarkStart w:id="183" w:name="_Toc32224"/>
      <w:bookmarkStart w:id="184" w:name="_Toc17576"/>
      <w:bookmarkStart w:id="185" w:name="_Toc1135714786"/>
      <w:bookmarkStart w:id="186" w:name="_Toc1594527365"/>
      <w:bookmarkStart w:id="187" w:name="_Toc23278"/>
      <w:r>
        <w:rPr>
          <w:rFonts w:hint="default" w:ascii="Times New Roman Regular" w:hAnsi="Times New Roman Regular" w:eastAsia="宋体" w:cs="Times New Roman Regular"/>
          <w:b/>
          <w:bCs/>
          <w:kern w:val="2"/>
          <w:sz w:val="21"/>
          <w:szCs w:val="21"/>
          <w:lang w:val="en-US" w:eastAsia="zh-CN"/>
        </w:rPr>
        <w:t>专用技术规范</w:t>
      </w:r>
      <w:bookmarkEnd w:id="180"/>
      <w:bookmarkEnd w:id="181"/>
      <w:bookmarkEnd w:id="182"/>
      <w:bookmarkEnd w:id="183"/>
      <w:bookmarkEnd w:id="184"/>
      <w:bookmarkEnd w:id="185"/>
      <w:bookmarkEnd w:id="186"/>
      <w:bookmarkEnd w:id="187"/>
    </w:p>
    <w:p w14:paraId="6EB8F65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default" w:ascii="Times New Roman Regular" w:hAnsi="Times New Roman Regular" w:eastAsia="宋体" w:cs="Times New Roman Regular"/>
          <w:b w:val="0"/>
          <w:bCs w:val="0"/>
          <w:sz w:val="21"/>
          <w:szCs w:val="21"/>
          <w:lang w:val="en-US" w:eastAsia="zh-CN"/>
        </w:rPr>
        <w:t>工程概况及使用条件</w:t>
      </w:r>
      <w:r>
        <w:rPr>
          <w:rFonts w:hint="eastAsia" w:ascii="Times New Roman Regular" w:hAnsi="Times New Roman Regular" w:eastAsia="宋体" w:cs="Times New Roman Regular"/>
          <w:b w:val="0"/>
          <w:bCs w:val="0"/>
          <w:sz w:val="21"/>
          <w:szCs w:val="21"/>
          <w:lang w:val="en-US" w:eastAsia="zh-CN"/>
        </w:rPr>
        <w:t>”“</w:t>
      </w:r>
      <w:r>
        <w:rPr>
          <w:rFonts w:hint="default" w:ascii="Times New Roman Regular" w:hAnsi="Times New Roman Regular" w:eastAsia="宋体" w:cs="Times New Roman Regular"/>
          <w:sz w:val="21"/>
          <w:szCs w:val="21"/>
          <w:lang w:val="en-US" w:eastAsia="zh-CN"/>
        </w:rPr>
        <w:t>项目需求部分</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技术参数和性能要求</w:t>
      </w:r>
      <w:r>
        <w:rPr>
          <w:rFonts w:hint="eastAsia" w:ascii="Times New Roman Regular" w:hAnsi="Times New Roman Regular" w:eastAsia="宋体" w:cs="Times New Roman Regular"/>
          <w:sz w:val="21"/>
          <w:szCs w:val="21"/>
          <w:lang w:val="en-US" w:eastAsia="zh-CN"/>
        </w:rPr>
        <w:t>”“供应商</w:t>
      </w:r>
      <w:r>
        <w:rPr>
          <w:rFonts w:hint="default" w:ascii="Times New Roman Regular" w:hAnsi="Times New Roman Regular" w:eastAsia="宋体" w:cs="Times New Roman Regular"/>
          <w:sz w:val="21"/>
          <w:szCs w:val="21"/>
          <w:lang w:val="en-US" w:eastAsia="zh-CN"/>
        </w:rPr>
        <w:t>响应部分”</w:t>
      </w:r>
      <w:r>
        <w:rPr>
          <w:rFonts w:hint="eastAsia" w:ascii="Times New Roman Regular" w:hAnsi="Times New Roman Regular" w:eastAsia="宋体" w:cs="Times New Roman Regular"/>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3BE3EE9B">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bCs/>
          <w:sz w:val="21"/>
          <w:szCs w:val="21"/>
          <w:lang w:val="en-US" w:eastAsia="zh-CN"/>
        </w:rPr>
      </w:pPr>
      <w:r>
        <w:rPr>
          <w:rFonts w:hint="default" w:ascii="Times New Roman Regular" w:hAnsi="Times New Roman Regular" w:eastAsia="宋体" w:cs="Times New Roman Regular"/>
          <w:sz w:val="21"/>
          <w:szCs w:val="21"/>
          <w:lang w:val="en-US" w:eastAsia="zh-CN"/>
        </w:rPr>
        <w:t>专用技术规范部分主要介绍项目的工程概况和具体要求，以及投标的具体要求。</w:t>
      </w:r>
    </w:p>
    <w:p w14:paraId="1B98A276">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8" w:name="_Toc772992642"/>
      <w:bookmarkStart w:id="189" w:name="_Toc21998"/>
      <w:bookmarkStart w:id="190" w:name="_Toc28483"/>
      <w:bookmarkStart w:id="191" w:name="_Toc159"/>
      <w:bookmarkStart w:id="192" w:name="_Toc28244"/>
      <w:bookmarkStart w:id="193" w:name="_Toc6175"/>
      <w:bookmarkStart w:id="194" w:name="_Toc2387"/>
      <w:bookmarkStart w:id="195" w:name="_Toc1123753766"/>
      <w:r>
        <w:rPr>
          <w:rFonts w:hint="default" w:ascii="Times New Roman Regular" w:hAnsi="Times New Roman Regular" w:eastAsia="宋体" w:cs="Times New Roman Regular"/>
          <w:b/>
          <w:bCs/>
          <w:kern w:val="2"/>
          <w:sz w:val="21"/>
          <w:szCs w:val="21"/>
          <w:lang w:val="en-US" w:eastAsia="zh-CN"/>
        </w:rPr>
        <w:t>附录</w:t>
      </w:r>
      <w:bookmarkEnd w:id="188"/>
      <w:bookmarkEnd w:id="189"/>
      <w:bookmarkEnd w:id="190"/>
      <w:bookmarkEnd w:id="191"/>
      <w:bookmarkEnd w:id="192"/>
      <w:bookmarkEnd w:id="193"/>
      <w:bookmarkEnd w:id="194"/>
      <w:bookmarkEnd w:id="195"/>
    </w:p>
    <w:p w14:paraId="1DF1FED8">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附录由资料性附录组成，补充正文。</w:t>
      </w:r>
    </w:p>
    <w:p w14:paraId="4C23899E">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96" w:name="_Toc1558753391"/>
      <w:bookmarkStart w:id="197" w:name="_Toc1958353444"/>
      <w:r>
        <w:rPr>
          <w:rFonts w:hint="eastAsia" w:ascii="黑体" w:hAnsi="黑体" w:eastAsia="黑体" w:cs="黑体"/>
          <w:b w:val="0"/>
          <w:bCs w:val="0"/>
          <w:color w:val="000000" w:themeColor="text1"/>
          <w:sz w:val="24"/>
          <w:szCs w:val="24"/>
          <w:lang w:val="en-US" w:eastAsia="zh-CN"/>
          <w14:textFill>
            <w14:solidFill>
              <w14:schemeClr w14:val="tx1"/>
            </w14:solidFill>
          </w14:textFill>
        </w:rPr>
        <w:t>编制特点</w:t>
      </w:r>
      <w:bookmarkEnd w:id="196"/>
      <w:bookmarkEnd w:id="197"/>
    </w:p>
    <w:p w14:paraId="203970C9">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本标准条文的设置和技术要求的规定体现了以下重要特点：</w:t>
      </w:r>
    </w:p>
    <w:p w14:paraId="37BF77B3">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8" w:name="_Toc1711959386"/>
      <w:r>
        <w:rPr>
          <w:rFonts w:hint="eastAsia" w:ascii="Times New Roman Regular" w:hAnsi="Times New Roman Regular" w:eastAsia="宋体" w:cs="Times New Roman Regular"/>
          <w:b/>
          <w:bCs/>
          <w:kern w:val="2"/>
          <w:sz w:val="21"/>
          <w:szCs w:val="21"/>
          <w:lang w:val="en-US" w:eastAsia="zh-CN"/>
        </w:rPr>
        <w:t>统一性</w:t>
      </w:r>
      <w:bookmarkEnd w:id="198"/>
    </w:p>
    <w:p w14:paraId="5A83C193">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相同应用场景，技术要求应保持一致。本标准给出了统一的工艺结构和性能要求，而非简单罗列各标准要求。</w:t>
      </w:r>
    </w:p>
    <w:p w14:paraId="62DA3033">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9" w:name="_Toc915497996"/>
      <w:r>
        <w:rPr>
          <w:rFonts w:hint="eastAsia" w:ascii="Times New Roman Regular" w:hAnsi="Times New Roman Regular" w:eastAsia="宋体" w:cs="Times New Roman Regular"/>
          <w:b/>
          <w:bCs/>
          <w:kern w:val="2"/>
          <w:sz w:val="21"/>
          <w:szCs w:val="21"/>
          <w:lang w:val="en-US" w:eastAsia="zh-CN"/>
        </w:rPr>
        <w:t>科学性</w:t>
      </w:r>
      <w:bookmarkEnd w:id="199"/>
    </w:p>
    <w:p w14:paraId="53222DD9">
      <w:pPr>
        <w:pageBreakBefore w:val="0"/>
        <w:numPr>
          <w:ilvl w:val="-1"/>
          <w:numId w:val="0"/>
        </w:numPr>
        <w:kinsoku/>
        <w:wordWrap/>
        <w:overflowPunct/>
        <w:topLinePunct w:val="0"/>
        <w:autoSpaceDE/>
        <w:autoSpaceDN/>
        <w:bidi w:val="0"/>
        <w:spacing w:before="157" w:beforeLines="50" w:after="157" w:afterLines="50" w:line="360" w:lineRule="auto"/>
        <w:ind w:left="482" w:firstLine="0" w:firstLineChars="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功能和质量指标的设置，充分考虑了影响供应商报价和项目实施风险的因素。</w:t>
      </w:r>
    </w:p>
    <w:p w14:paraId="07CB7058">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200" w:name="_Toc54488017"/>
      <w:r>
        <w:rPr>
          <w:rFonts w:hint="eastAsia" w:ascii="Times New Roman Regular" w:hAnsi="Times New Roman Regular" w:eastAsia="宋体" w:cs="Times New Roman Regular"/>
          <w:b/>
          <w:bCs/>
          <w:kern w:val="2"/>
          <w:sz w:val="21"/>
          <w:szCs w:val="21"/>
          <w:lang w:val="en-US" w:eastAsia="zh-CN"/>
        </w:rPr>
        <w:t>实践性</w:t>
      </w:r>
      <w:bookmarkEnd w:id="200"/>
    </w:p>
    <w:p w14:paraId="31E60D5E">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场景化应用，提供“全文引用、修改引用、选择引用”三种模式，适配不同项目复杂度。</w:t>
      </w:r>
    </w:p>
    <w:p w14:paraId="0E4E351D">
      <w:pPr>
        <w:pageBreakBefore w:val="0"/>
        <w:numPr>
          <w:ilvl w:val="0"/>
          <w:numId w:val="18"/>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1" w:name="_Toc952068097"/>
      <w:r>
        <w:rPr>
          <w:rFonts w:hint="eastAsia" w:ascii="Times New Roman Regular" w:hAnsi="Times New Roman Regular" w:eastAsia="宋体" w:cs="Times New Roman Regular"/>
          <w:b/>
          <w:bCs/>
          <w:kern w:val="2"/>
          <w:sz w:val="21"/>
          <w:szCs w:val="21"/>
          <w:lang w:val="en-US" w:eastAsia="zh-CN"/>
        </w:rPr>
        <w:t>全面性</w:t>
      </w:r>
      <w:bookmarkEnd w:id="201"/>
    </w:p>
    <w:p w14:paraId="1EC49080">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全生命周期管理，从招标技术书编制到合同履约验收，覆盖电缆采购全流程。</w:t>
      </w:r>
    </w:p>
    <w:p w14:paraId="604248DD">
      <w:pPr>
        <w:pageBreakBefore w:val="0"/>
        <w:numPr>
          <w:ilvl w:val="0"/>
          <w:numId w:val="18"/>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2" w:name="_Toc507852482"/>
      <w:r>
        <w:rPr>
          <w:rFonts w:hint="eastAsia" w:ascii="Times New Roman Regular" w:hAnsi="Times New Roman Regular" w:eastAsia="宋体" w:cs="Times New Roman Regular"/>
          <w:b/>
          <w:bCs/>
          <w:kern w:val="2"/>
          <w:sz w:val="21"/>
          <w:szCs w:val="21"/>
          <w:lang w:val="en-US" w:eastAsia="zh-CN"/>
        </w:rPr>
        <w:t>先进性</w:t>
      </w:r>
      <w:bookmarkEnd w:id="202"/>
    </w:p>
    <w:p w14:paraId="75959DC7">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数据驱动，通过表格化技术参数（如结构参数表、电气及其他参数表、非电气参数表），提升可执行性。</w:t>
      </w:r>
    </w:p>
    <w:p w14:paraId="3BE76B27">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203" w:name="_Toc385498374"/>
      <w:bookmarkStart w:id="204" w:name="_Toc220"/>
      <w:bookmarkStart w:id="205" w:name="_Toc31550"/>
      <w:bookmarkStart w:id="206" w:name="_Toc31065"/>
      <w:bookmarkStart w:id="207" w:name="_Toc4353"/>
      <w:bookmarkStart w:id="208" w:name="_Toc21551"/>
      <w:bookmarkStart w:id="209" w:name="_Toc23786"/>
      <w:bookmarkStart w:id="210" w:name="_Toc25375"/>
      <w:bookmarkStart w:id="211" w:name="_Toc30636"/>
      <w:bookmarkStart w:id="212" w:name="_Toc14213"/>
      <w:bookmarkStart w:id="213" w:name="_Toc2107"/>
      <w:bookmarkStart w:id="214" w:name="_Toc5932"/>
      <w:bookmarkStart w:id="215" w:name="_Toc1376651796"/>
      <w:bookmarkStart w:id="216" w:name="_Toc17639"/>
      <w:r>
        <w:rPr>
          <w:rFonts w:hint="eastAsia" w:ascii="黑体" w:hAnsi="黑体" w:eastAsia="黑体" w:cs="黑体"/>
          <w:b w:val="0"/>
          <w:bCs/>
          <w:sz w:val="28"/>
          <w:szCs w:val="28"/>
          <w:lang w:val="en-US" w:eastAsia="zh-CN"/>
        </w:rPr>
        <w:t>重大意见分歧的处理经过和依据</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5B3E4F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无重大意见分歧。</w:t>
      </w:r>
    </w:p>
    <w:p w14:paraId="4E0CACEE">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17" w:name="_Toc8894"/>
      <w:bookmarkStart w:id="218" w:name="_Toc30374"/>
      <w:bookmarkStart w:id="219" w:name="_Toc23317"/>
      <w:bookmarkStart w:id="220" w:name="_Toc397922594"/>
      <w:bookmarkStart w:id="221" w:name="_Toc24824"/>
      <w:bookmarkStart w:id="222" w:name="_Toc4678"/>
      <w:bookmarkStart w:id="223" w:name="_Toc113008819"/>
      <w:bookmarkStart w:id="224" w:name="_Toc20007"/>
      <w:bookmarkStart w:id="225" w:name="_Toc14748"/>
      <w:bookmarkStart w:id="226" w:name="_Toc15080"/>
      <w:bookmarkStart w:id="227" w:name="_Toc16446"/>
      <w:bookmarkStart w:id="228" w:name="_Toc24438"/>
      <w:bookmarkStart w:id="229" w:name="_Toc26432"/>
      <w:bookmarkStart w:id="230" w:name="_Toc9147"/>
      <w:r>
        <w:rPr>
          <w:rFonts w:hint="default" w:ascii="黑体" w:hAnsi="黑体" w:eastAsia="黑体" w:cs="黑体"/>
          <w:b w:val="0"/>
          <w:bCs/>
          <w:sz w:val="28"/>
          <w:szCs w:val="28"/>
          <w:lang w:val="en-US" w:eastAsia="zh-CN"/>
        </w:rPr>
        <w:t>采标情况</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15FAAD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未采用国际标准。</w:t>
      </w:r>
    </w:p>
    <w:p w14:paraId="4A3322F9">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31" w:name="_Toc14320"/>
      <w:bookmarkStart w:id="232" w:name="_Toc26590"/>
      <w:bookmarkStart w:id="233" w:name="_Toc15132"/>
      <w:bookmarkStart w:id="234" w:name="_Toc21166"/>
      <w:bookmarkStart w:id="235" w:name="_Toc32756"/>
      <w:bookmarkStart w:id="236" w:name="_Toc21972"/>
      <w:bookmarkStart w:id="237" w:name="_Toc29139"/>
      <w:bookmarkStart w:id="238" w:name="_Toc4728"/>
      <w:bookmarkStart w:id="239" w:name="_Toc963676985"/>
      <w:bookmarkStart w:id="240" w:name="_Toc636"/>
      <w:bookmarkStart w:id="241" w:name="_Toc394"/>
      <w:bookmarkStart w:id="242" w:name="_Toc21425"/>
      <w:bookmarkStart w:id="243" w:name="_Toc620960600"/>
      <w:bookmarkStart w:id="244" w:name="_Toc30979"/>
      <w:r>
        <w:rPr>
          <w:rFonts w:hint="default" w:ascii="黑体" w:hAnsi="黑体" w:eastAsia="黑体" w:cs="黑体"/>
          <w:b w:val="0"/>
          <w:bCs/>
          <w:sz w:val="28"/>
          <w:szCs w:val="28"/>
          <w:lang w:val="en-US" w:eastAsia="zh-CN"/>
        </w:rPr>
        <w:t>与现行法律法规和强制性国家标准的关系</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25B1950">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本标准的编制从实际生产和需求出发，遵循最大共性和实际需求原则。现有标准较为一致的部分，遵循最大共性原则，一般不作更改；确有实际需求及生产，而标准没有更新的部分，做适当更新。</w:t>
      </w:r>
    </w:p>
    <w:sectPr>
      <w:headerReference r:id="rId5" w:type="default"/>
      <w:footerReference r:id="rId7" w:type="default"/>
      <w:headerReference r:id="rId6" w:type="even"/>
      <w:footerReference r:id="rId8"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2B52">
    <w:pPr>
      <w:pStyle w:val="14"/>
      <w:jc w:val="center"/>
    </w:pPr>
  </w:p>
  <w:p w14:paraId="6417286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BF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36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84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BC19">
    <w:pPr>
      <w:pStyle w:val="15"/>
      <w:spacing w:after="283"/>
      <w:jc w:val="right"/>
      <w:rPr>
        <w:rFonts w:hint="default" w:ascii="Times New Roman Regular" w:hAnsi="Times New Roman Regular" w:eastAsia="宋体" w:cs="Times New Roman Regula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27F4">
    <w:pPr>
      <w:pStyle w:val="15"/>
      <w:spacing w:after="283"/>
      <w:jc w:val="left"/>
      <w:rPr>
        <w:rFonts w:ascii="Times New Roman Regular" w:hAnsi="Times New Roman Regular" w:cs="Times New Roman Regul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37759"/>
    <w:multiLevelType w:val="singleLevel"/>
    <w:tmpl w:val="84637759"/>
    <w:lvl w:ilvl="0" w:tentative="0">
      <w:start w:val="1"/>
      <w:numFmt w:val="decimal"/>
      <w:lvlText w:val="%1."/>
      <w:lvlJc w:val="left"/>
      <w:pPr>
        <w:tabs>
          <w:tab w:val="left" w:pos="312"/>
        </w:tabs>
      </w:pPr>
      <w:rPr>
        <w:rFonts w:hint="default" w:ascii="Times New Roman Regular" w:hAnsi="Times New Roman Regular" w:eastAsia="宋体" w:cs="Times New Roman Regular"/>
        <w:b w:val="0"/>
        <w:bCs w:val="0"/>
      </w:rPr>
    </w:lvl>
  </w:abstractNum>
  <w:abstractNum w:abstractNumId="1">
    <w:nsid w:val="9B72B76F"/>
    <w:multiLevelType w:val="singleLevel"/>
    <w:tmpl w:val="9B72B76F"/>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2">
    <w:nsid w:val="9FFE723B"/>
    <w:multiLevelType w:val="singleLevel"/>
    <w:tmpl w:val="9FFE723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3">
    <w:nsid w:val="CFFA3288"/>
    <w:multiLevelType w:val="singleLevel"/>
    <w:tmpl w:val="CFFA3288"/>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4">
    <w:nsid w:val="DBBCD977"/>
    <w:multiLevelType w:val="multilevel"/>
    <w:tmpl w:val="DBBCD97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DCF38E53"/>
    <w:multiLevelType w:val="singleLevel"/>
    <w:tmpl w:val="DCF38E53"/>
    <w:lvl w:ilvl="0" w:tentative="0">
      <w:start w:val="1"/>
      <w:numFmt w:val="decimal"/>
      <w:lvlText w:val="%1."/>
      <w:lvlJc w:val="left"/>
      <w:pPr>
        <w:tabs>
          <w:tab w:val="left" w:pos="312"/>
        </w:tabs>
      </w:pPr>
      <w:rPr>
        <w:rFonts w:hint="default" w:ascii="Times New Roman Regular" w:hAnsi="Times New Roman Regular" w:eastAsia="宋体" w:cs="Times New Roman Regular"/>
      </w:rPr>
    </w:lvl>
  </w:abstractNum>
  <w:abstractNum w:abstractNumId="6">
    <w:nsid w:val="DFF3BAB6"/>
    <w:multiLevelType w:val="singleLevel"/>
    <w:tmpl w:val="DFF3BAB6"/>
    <w:lvl w:ilvl="0" w:tentative="0">
      <w:start w:val="1"/>
      <w:numFmt w:val="chineseCounting"/>
      <w:suff w:val="nothing"/>
      <w:lvlText w:val="%1、"/>
      <w:lvlJc w:val="left"/>
      <w:pPr>
        <w:ind w:left="0" w:firstLine="420"/>
      </w:pPr>
      <w:rPr>
        <w:rFonts w:hint="eastAsia"/>
      </w:rPr>
    </w:lvl>
  </w:abstractNum>
  <w:abstractNum w:abstractNumId="7">
    <w:nsid w:val="F5F65BB9"/>
    <w:multiLevelType w:val="singleLevel"/>
    <w:tmpl w:val="F5F65BB9"/>
    <w:lvl w:ilvl="0" w:tentative="0">
      <w:start w:val="1"/>
      <w:numFmt w:val="chineseCounting"/>
      <w:suff w:val="nothing"/>
      <w:lvlText w:val="（%1）"/>
      <w:lvlJc w:val="left"/>
      <w:pPr>
        <w:ind w:left="0" w:firstLine="420"/>
      </w:pPr>
      <w:rPr>
        <w:rFonts w:hint="eastAsia"/>
      </w:rPr>
    </w:lvl>
  </w:abstractNum>
  <w:abstractNum w:abstractNumId="8">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9">
    <w:nsid w:val="FEBE2C9B"/>
    <w:multiLevelType w:val="singleLevel"/>
    <w:tmpl w:val="FEBE2C9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0">
    <w:nsid w:val="FFDB1FD8"/>
    <w:multiLevelType w:val="singleLevel"/>
    <w:tmpl w:val="FFDB1FD8"/>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1">
    <w:nsid w:val="FFF2A4A2"/>
    <w:multiLevelType w:val="singleLevel"/>
    <w:tmpl w:val="FFF2A4A2"/>
    <w:lvl w:ilvl="0" w:tentative="0">
      <w:start w:val="1"/>
      <w:numFmt w:val="decimal"/>
      <w:lvlText w:val="%1."/>
      <w:lvlJc w:val="left"/>
      <w:pPr>
        <w:tabs>
          <w:tab w:val="left" w:pos="312"/>
        </w:tabs>
      </w:pPr>
    </w:lvl>
  </w:abstractNum>
  <w:abstractNum w:abstractNumId="12">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13">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14">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5">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653028B4"/>
    <w:multiLevelType w:val="singleLevel"/>
    <w:tmpl w:val="653028B4"/>
    <w:lvl w:ilvl="0" w:tentative="0">
      <w:start w:val="1"/>
      <w:numFmt w:val="chineseCounting"/>
      <w:suff w:val="nothing"/>
      <w:lvlText w:val="（%1）"/>
      <w:lvlJc w:val="left"/>
      <w:pPr>
        <w:ind w:left="0" w:firstLine="420"/>
      </w:pPr>
      <w:rPr>
        <w:rFonts w:hint="eastAsia"/>
      </w:rPr>
    </w:lvl>
  </w:abstractNum>
  <w:abstractNum w:abstractNumId="17">
    <w:nsid w:val="775EE5C1"/>
    <w:multiLevelType w:val="singleLevel"/>
    <w:tmpl w:val="775EE5C1"/>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num w:numId="1">
    <w:abstractNumId w:val="13"/>
  </w:num>
  <w:num w:numId="2">
    <w:abstractNumId w:val="12"/>
  </w:num>
  <w:num w:numId="3">
    <w:abstractNumId w:val="15"/>
  </w:num>
  <w:num w:numId="4">
    <w:abstractNumId w:val="14"/>
  </w:num>
  <w:num w:numId="5">
    <w:abstractNumId w:val="8"/>
  </w:num>
  <w:num w:numId="6">
    <w:abstractNumId w:val="6"/>
  </w:num>
  <w:num w:numId="7">
    <w:abstractNumId w:val="7"/>
  </w:num>
  <w:num w:numId="8">
    <w:abstractNumId w:val="17"/>
  </w:num>
  <w:num w:numId="9">
    <w:abstractNumId w:val="9"/>
  </w:num>
  <w:num w:numId="10">
    <w:abstractNumId w:val="11"/>
  </w:num>
  <w:num w:numId="11">
    <w:abstractNumId w:val="5"/>
  </w:num>
  <w:num w:numId="12">
    <w:abstractNumId w:val="3"/>
  </w:num>
  <w:num w:numId="13">
    <w:abstractNumId w:val="1"/>
  </w:num>
  <w:num w:numId="14">
    <w:abstractNumId w:val="4"/>
  </w:num>
  <w:num w:numId="15">
    <w:abstractNumId w:val="0"/>
  </w:num>
  <w:num w:numId="16">
    <w:abstractNumId w:val="1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102F1"/>
    <w:rsid w:val="00A55A76"/>
    <w:rsid w:val="00C417A3"/>
    <w:rsid w:val="00C603FA"/>
    <w:rsid w:val="00D35090"/>
    <w:rsid w:val="00DC70A8"/>
    <w:rsid w:val="01057F1E"/>
    <w:rsid w:val="010A6538"/>
    <w:rsid w:val="011A2A76"/>
    <w:rsid w:val="012C30C9"/>
    <w:rsid w:val="01570814"/>
    <w:rsid w:val="01751F10"/>
    <w:rsid w:val="017D31AE"/>
    <w:rsid w:val="01AE34CB"/>
    <w:rsid w:val="01EA0118"/>
    <w:rsid w:val="01F60125"/>
    <w:rsid w:val="02151639"/>
    <w:rsid w:val="02221BDB"/>
    <w:rsid w:val="023C4E17"/>
    <w:rsid w:val="0240504A"/>
    <w:rsid w:val="02414829"/>
    <w:rsid w:val="0268276F"/>
    <w:rsid w:val="0273010D"/>
    <w:rsid w:val="0313160B"/>
    <w:rsid w:val="031C69F7"/>
    <w:rsid w:val="033349EE"/>
    <w:rsid w:val="034A5312"/>
    <w:rsid w:val="038549E9"/>
    <w:rsid w:val="038D51FF"/>
    <w:rsid w:val="03AA7192"/>
    <w:rsid w:val="03C75EB2"/>
    <w:rsid w:val="03EB4055"/>
    <w:rsid w:val="04455BB0"/>
    <w:rsid w:val="04662C85"/>
    <w:rsid w:val="048929AB"/>
    <w:rsid w:val="048A686A"/>
    <w:rsid w:val="049029EF"/>
    <w:rsid w:val="04A722F0"/>
    <w:rsid w:val="04AE367F"/>
    <w:rsid w:val="04C36291"/>
    <w:rsid w:val="04C64E6C"/>
    <w:rsid w:val="04F7112F"/>
    <w:rsid w:val="05031C1C"/>
    <w:rsid w:val="05047743"/>
    <w:rsid w:val="05126ADD"/>
    <w:rsid w:val="051C79FB"/>
    <w:rsid w:val="057A2458"/>
    <w:rsid w:val="05A607FA"/>
    <w:rsid w:val="061E4045"/>
    <w:rsid w:val="06E33324"/>
    <w:rsid w:val="06FF6413"/>
    <w:rsid w:val="07003B93"/>
    <w:rsid w:val="071E4497"/>
    <w:rsid w:val="072F5986"/>
    <w:rsid w:val="073277F2"/>
    <w:rsid w:val="074107DA"/>
    <w:rsid w:val="074F1149"/>
    <w:rsid w:val="075521B6"/>
    <w:rsid w:val="07DD5F1D"/>
    <w:rsid w:val="07E77620"/>
    <w:rsid w:val="08123F24"/>
    <w:rsid w:val="08B1656C"/>
    <w:rsid w:val="08FA1588"/>
    <w:rsid w:val="09050131"/>
    <w:rsid w:val="094E5847"/>
    <w:rsid w:val="096802A0"/>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AC27E84"/>
    <w:rsid w:val="0B1306DF"/>
    <w:rsid w:val="0B1D3AD1"/>
    <w:rsid w:val="0B5908F1"/>
    <w:rsid w:val="0B6874E1"/>
    <w:rsid w:val="0B723658"/>
    <w:rsid w:val="0BBBBA8B"/>
    <w:rsid w:val="0BE249C9"/>
    <w:rsid w:val="0BE70503"/>
    <w:rsid w:val="0C3534E2"/>
    <w:rsid w:val="0C3E79DE"/>
    <w:rsid w:val="0C7B765B"/>
    <w:rsid w:val="0C8E44C1"/>
    <w:rsid w:val="0CAC7EC2"/>
    <w:rsid w:val="0CCD5877"/>
    <w:rsid w:val="0CF54BA1"/>
    <w:rsid w:val="0D223D2F"/>
    <w:rsid w:val="0D441024"/>
    <w:rsid w:val="0D5E1CB9"/>
    <w:rsid w:val="0D780CCE"/>
    <w:rsid w:val="0DBE26D2"/>
    <w:rsid w:val="0DDD6210"/>
    <w:rsid w:val="0E277278"/>
    <w:rsid w:val="0E2D7D0A"/>
    <w:rsid w:val="0E7C5427"/>
    <w:rsid w:val="0E7DB4FC"/>
    <w:rsid w:val="0EC07A7C"/>
    <w:rsid w:val="0ECA4CFE"/>
    <w:rsid w:val="0ECF3031"/>
    <w:rsid w:val="0EE71B02"/>
    <w:rsid w:val="0F24110D"/>
    <w:rsid w:val="0F31382A"/>
    <w:rsid w:val="0F7A0D2D"/>
    <w:rsid w:val="0FB7CAC4"/>
    <w:rsid w:val="0FDC7E43"/>
    <w:rsid w:val="0FE16B50"/>
    <w:rsid w:val="0FEB4BAC"/>
    <w:rsid w:val="100D1BA1"/>
    <w:rsid w:val="103E7FAD"/>
    <w:rsid w:val="103F5BA1"/>
    <w:rsid w:val="104A4BA3"/>
    <w:rsid w:val="108E7218"/>
    <w:rsid w:val="10B63D14"/>
    <w:rsid w:val="10B820FF"/>
    <w:rsid w:val="10C304B2"/>
    <w:rsid w:val="110E5BD1"/>
    <w:rsid w:val="1134315E"/>
    <w:rsid w:val="11EC57E6"/>
    <w:rsid w:val="11F0799B"/>
    <w:rsid w:val="11FF47B8"/>
    <w:rsid w:val="122B630F"/>
    <w:rsid w:val="123C43E8"/>
    <w:rsid w:val="125E00D9"/>
    <w:rsid w:val="12677C09"/>
    <w:rsid w:val="126F3FA5"/>
    <w:rsid w:val="127F665A"/>
    <w:rsid w:val="12887BC1"/>
    <w:rsid w:val="128C1399"/>
    <w:rsid w:val="12A44024"/>
    <w:rsid w:val="12BE53D5"/>
    <w:rsid w:val="131B45D5"/>
    <w:rsid w:val="133471D8"/>
    <w:rsid w:val="134D2F57"/>
    <w:rsid w:val="13681478"/>
    <w:rsid w:val="13717985"/>
    <w:rsid w:val="13A730B3"/>
    <w:rsid w:val="13D87533"/>
    <w:rsid w:val="141C6857"/>
    <w:rsid w:val="145853B5"/>
    <w:rsid w:val="145D796B"/>
    <w:rsid w:val="14840CB7"/>
    <w:rsid w:val="14885C4A"/>
    <w:rsid w:val="149245B2"/>
    <w:rsid w:val="14B52807"/>
    <w:rsid w:val="14CB1C36"/>
    <w:rsid w:val="14FF0009"/>
    <w:rsid w:val="15295AC0"/>
    <w:rsid w:val="15632BBE"/>
    <w:rsid w:val="15714E3E"/>
    <w:rsid w:val="1586215F"/>
    <w:rsid w:val="15B8610B"/>
    <w:rsid w:val="15E22389"/>
    <w:rsid w:val="15EE5FD1"/>
    <w:rsid w:val="15FFAF65"/>
    <w:rsid w:val="16203F57"/>
    <w:rsid w:val="16534086"/>
    <w:rsid w:val="167069E6"/>
    <w:rsid w:val="167F37F2"/>
    <w:rsid w:val="168B5B89"/>
    <w:rsid w:val="16A7EAFF"/>
    <w:rsid w:val="16F30626"/>
    <w:rsid w:val="16FF6847"/>
    <w:rsid w:val="1726591C"/>
    <w:rsid w:val="17276095"/>
    <w:rsid w:val="172D48D7"/>
    <w:rsid w:val="17683B61"/>
    <w:rsid w:val="17750E5D"/>
    <w:rsid w:val="178D1819"/>
    <w:rsid w:val="178D35C8"/>
    <w:rsid w:val="17FFDE95"/>
    <w:rsid w:val="18153CE9"/>
    <w:rsid w:val="18174183"/>
    <w:rsid w:val="182061EA"/>
    <w:rsid w:val="186A063A"/>
    <w:rsid w:val="188D4734"/>
    <w:rsid w:val="189E6E29"/>
    <w:rsid w:val="19540841"/>
    <w:rsid w:val="19582824"/>
    <w:rsid w:val="1966667F"/>
    <w:rsid w:val="19726F19"/>
    <w:rsid w:val="1998303C"/>
    <w:rsid w:val="19A60971"/>
    <w:rsid w:val="19AF388C"/>
    <w:rsid w:val="19BF413C"/>
    <w:rsid w:val="19EC2827"/>
    <w:rsid w:val="19F81081"/>
    <w:rsid w:val="1A2A15A2"/>
    <w:rsid w:val="1A3409BA"/>
    <w:rsid w:val="1A420699"/>
    <w:rsid w:val="1A460158"/>
    <w:rsid w:val="1A4F6F20"/>
    <w:rsid w:val="1A564145"/>
    <w:rsid w:val="1A921D7C"/>
    <w:rsid w:val="1AA82C77"/>
    <w:rsid w:val="1AAC1FB7"/>
    <w:rsid w:val="1AAE035C"/>
    <w:rsid w:val="1ACB068F"/>
    <w:rsid w:val="1ADE683C"/>
    <w:rsid w:val="1AEE97C9"/>
    <w:rsid w:val="1B630BBC"/>
    <w:rsid w:val="1B776A68"/>
    <w:rsid w:val="1B83048A"/>
    <w:rsid w:val="1B8B06FB"/>
    <w:rsid w:val="1B8F3DB2"/>
    <w:rsid w:val="1BDC4CEC"/>
    <w:rsid w:val="1BED6F2E"/>
    <w:rsid w:val="1C054E31"/>
    <w:rsid w:val="1C33473D"/>
    <w:rsid w:val="1C7B4336"/>
    <w:rsid w:val="1CAD0D0F"/>
    <w:rsid w:val="1CCC4B92"/>
    <w:rsid w:val="1CCE7662"/>
    <w:rsid w:val="1CDC0B3F"/>
    <w:rsid w:val="1CDF6673"/>
    <w:rsid w:val="1CF42CA9"/>
    <w:rsid w:val="1D0FF220"/>
    <w:rsid w:val="1D1F2F14"/>
    <w:rsid w:val="1D473EA8"/>
    <w:rsid w:val="1D5232E9"/>
    <w:rsid w:val="1D570900"/>
    <w:rsid w:val="1D9F570E"/>
    <w:rsid w:val="1DE52980"/>
    <w:rsid w:val="1DEF71B8"/>
    <w:rsid w:val="1E146D3B"/>
    <w:rsid w:val="1E2217D8"/>
    <w:rsid w:val="1E51534F"/>
    <w:rsid w:val="1E573D4C"/>
    <w:rsid w:val="1E666FDD"/>
    <w:rsid w:val="1E966DDD"/>
    <w:rsid w:val="1E9A18CE"/>
    <w:rsid w:val="1EBE86B6"/>
    <w:rsid w:val="1ECFD007"/>
    <w:rsid w:val="1EDF1228"/>
    <w:rsid w:val="1EE93F77"/>
    <w:rsid w:val="1F05006D"/>
    <w:rsid w:val="1F361357"/>
    <w:rsid w:val="1F416122"/>
    <w:rsid w:val="1F4C7776"/>
    <w:rsid w:val="1F4E796B"/>
    <w:rsid w:val="1F542020"/>
    <w:rsid w:val="1F6F065E"/>
    <w:rsid w:val="1F6FD0F7"/>
    <w:rsid w:val="1F882DFC"/>
    <w:rsid w:val="1F8D1F54"/>
    <w:rsid w:val="1FCB729D"/>
    <w:rsid w:val="1FD2426D"/>
    <w:rsid w:val="1FF7EB1A"/>
    <w:rsid w:val="1FFF500F"/>
    <w:rsid w:val="1FFFFB11"/>
    <w:rsid w:val="20062169"/>
    <w:rsid w:val="20476A09"/>
    <w:rsid w:val="20C242E2"/>
    <w:rsid w:val="20F52909"/>
    <w:rsid w:val="21075857"/>
    <w:rsid w:val="21091F11"/>
    <w:rsid w:val="21274A8D"/>
    <w:rsid w:val="213435D0"/>
    <w:rsid w:val="21386C61"/>
    <w:rsid w:val="21494A03"/>
    <w:rsid w:val="21515666"/>
    <w:rsid w:val="216043C0"/>
    <w:rsid w:val="216E446A"/>
    <w:rsid w:val="21736F42"/>
    <w:rsid w:val="21976AF2"/>
    <w:rsid w:val="21B420FA"/>
    <w:rsid w:val="21E67D41"/>
    <w:rsid w:val="21FA3791"/>
    <w:rsid w:val="22167F23"/>
    <w:rsid w:val="223C00C4"/>
    <w:rsid w:val="225114BD"/>
    <w:rsid w:val="22804455"/>
    <w:rsid w:val="229C358D"/>
    <w:rsid w:val="22C02AA3"/>
    <w:rsid w:val="22CD6D83"/>
    <w:rsid w:val="22EC5646"/>
    <w:rsid w:val="22FF24E0"/>
    <w:rsid w:val="230961F8"/>
    <w:rsid w:val="2349134C"/>
    <w:rsid w:val="235105CE"/>
    <w:rsid w:val="23735D67"/>
    <w:rsid w:val="23812740"/>
    <w:rsid w:val="238B4E5F"/>
    <w:rsid w:val="23A979DB"/>
    <w:rsid w:val="23E00E9D"/>
    <w:rsid w:val="23F77CA2"/>
    <w:rsid w:val="23FFB53A"/>
    <w:rsid w:val="24191BAC"/>
    <w:rsid w:val="241D051C"/>
    <w:rsid w:val="244860D4"/>
    <w:rsid w:val="24B53FFA"/>
    <w:rsid w:val="24E04C70"/>
    <w:rsid w:val="24E134A2"/>
    <w:rsid w:val="24E8008F"/>
    <w:rsid w:val="24E82E11"/>
    <w:rsid w:val="24F63A5D"/>
    <w:rsid w:val="250753E5"/>
    <w:rsid w:val="251D678D"/>
    <w:rsid w:val="25361FF1"/>
    <w:rsid w:val="2536529E"/>
    <w:rsid w:val="25657148"/>
    <w:rsid w:val="259759BA"/>
    <w:rsid w:val="25A1063C"/>
    <w:rsid w:val="25DB4DDF"/>
    <w:rsid w:val="25FA62CC"/>
    <w:rsid w:val="26103D41"/>
    <w:rsid w:val="26170C2C"/>
    <w:rsid w:val="2637BA7C"/>
    <w:rsid w:val="266F2B9B"/>
    <w:rsid w:val="26A2681B"/>
    <w:rsid w:val="26C568DA"/>
    <w:rsid w:val="26DB038C"/>
    <w:rsid w:val="26DB493C"/>
    <w:rsid w:val="26DB7EAB"/>
    <w:rsid w:val="26DC2D2F"/>
    <w:rsid w:val="27161CB8"/>
    <w:rsid w:val="2730304F"/>
    <w:rsid w:val="279863D2"/>
    <w:rsid w:val="27C82E5D"/>
    <w:rsid w:val="27D00C09"/>
    <w:rsid w:val="27EF6F7C"/>
    <w:rsid w:val="28011B94"/>
    <w:rsid w:val="289034E8"/>
    <w:rsid w:val="28A10C81"/>
    <w:rsid w:val="28E219C5"/>
    <w:rsid w:val="28F85103"/>
    <w:rsid w:val="29092F0D"/>
    <w:rsid w:val="292875F4"/>
    <w:rsid w:val="295D104C"/>
    <w:rsid w:val="2967305A"/>
    <w:rsid w:val="2970538A"/>
    <w:rsid w:val="2A2102CB"/>
    <w:rsid w:val="2A2B40D9"/>
    <w:rsid w:val="2A4468E8"/>
    <w:rsid w:val="2A4B7560"/>
    <w:rsid w:val="2A5306A1"/>
    <w:rsid w:val="2A581813"/>
    <w:rsid w:val="2A636193"/>
    <w:rsid w:val="2A64465C"/>
    <w:rsid w:val="2A7A3BD7"/>
    <w:rsid w:val="2AE93841"/>
    <w:rsid w:val="2AEE3648"/>
    <w:rsid w:val="2B033371"/>
    <w:rsid w:val="2B0F45C8"/>
    <w:rsid w:val="2B151462"/>
    <w:rsid w:val="2B703976"/>
    <w:rsid w:val="2B732DA8"/>
    <w:rsid w:val="2B779685"/>
    <w:rsid w:val="2BA61037"/>
    <w:rsid w:val="2BBB2C9D"/>
    <w:rsid w:val="2BD66AC4"/>
    <w:rsid w:val="2BFB29B5"/>
    <w:rsid w:val="2C072F7D"/>
    <w:rsid w:val="2C0803CD"/>
    <w:rsid w:val="2C76BB6A"/>
    <w:rsid w:val="2D60068C"/>
    <w:rsid w:val="2D630BFB"/>
    <w:rsid w:val="2D7479D0"/>
    <w:rsid w:val="2D99461C"/>
    <w:rsid w:val="2DA99F38"/>
    <w:rsid w:val="2DB42C49"/>
    <w:rsid w:val="2DB7C539"/>
    <w:rsid w:val="2DDD4E88"/>
    <w:rsid w:val="2DE007D6"/>
    <w:rsid w:val="2E1B46D1"/>
    <w:rsid w:val="2E1C30BA"/>
    <w:rsid w:val="2E3879E1"/>
    <w:rsid w:val="2E48665F"/>
    <w:rsid w:val="2E5829A2"/>
    <w:rsid w:val="2E67296D"/>
    <w:rsid w:val="2EA367EC"/>
    <w:rsid w:val="2EA440F9"/>
    <w:rsid w:val="2EEA2F15"/>
    <w:rsid w:val="2F057EA8"/>
    <w:rsid w:val="2F2370C0"/>
    <w:rsid w:val="2F3E36CD"/>
    <w:rsid w:val="2F4737A5"/>
    <w:rsid w:val="2F485833"/>
    <w:rsid w:val="2F5C7FF7"/>
    <w:rsid w:val="2F6E0DA7"/>
    <w:rsid w:val="2FAC6889"/>
    <w:rsid w:val="2FBDE690"/>
    <w:rsid w:val="2FD35415"/>
    <w:rsid w:val="2FF80E15"/>
    <w:rsid w:val="2FFD7F30"/>
    <w:rsid w:val="2FFF1BA9"/>
    <w:rsid w:val="2FFFD7DA"/>
    <w:rsid w:val="30006BD5"/>
    <w:rsid w:val="30506C8F"/>
    <w:rsid w:val="30970232"/>
    <w:rsid w:val="30E03A94"/>
    <w:rsid w:val="313A3321"/>
    <w:rsid w:val="314B20D2"/>
    <w:rsid w:val="31643065"/>
    <w:rsid w:val="31E218FC"/>
    <w:rsid w:val="322008DB"/>
    <w:rsid w:val="323C7DCD"/>
    <w:rsid w:val="326C67A3"/>
    <w:rsid w:val="32AD5347"/>
    <w:rsid w:val="32B827EB"/>
    <w:rsid w:val="32CE4D68"/>
    <w:rsid w:val="32D86506"/>
    <w:rsid w:val="32DA195F"/>
    <w:rsid w:val="32F10A57"/>
    <w:rsid w:val="32FC43B4"/>
    <w:rsid w:val="33044C2E"/>
    <w:rsid w:val="33595B98"/>
    <w:rsid w:val="33684523"/>
    <w:rsid w:val="33745910"/>
    <w:rsid w:val="337B23CF"/>
    <w:rsid w:val="337BD9E0"/>
    <w:rsid w:val="339C6C14"/>
    <w:rsid w:val="33A04957"/>
    <w:rsid w:val="33EB36F8"/>
    <w:rsid w:val="33F97AFF"/>
    <w:rsid w:val="340F2C26"/>
    <w:rsid w:val="345BCED1"/>
    <w:rsid w:val="346C65E7"/>
    <w:rsid w:val="347D07F4"/>
    <w:rsid w:val="350917E2"/>
    <w:rsid w:val="35823C32"/>
    <w:rsid w:val="358B3002"/>
    <w:rsid w:val="358F3395"/>
    <w:rsid w:val="35AE50D1"/>
    <w:rsid w:val="35D67453"/>
    <w:rsid w:val="35F86203"/>
    <w:rsid w:val="35FF9FE7"/>
    <w:rsid w:val="360B6C4E"/>
    <w:rsid w:val="361909F0"/>
    <w:rsid w:val="3635D2DB"/>
    <w:rsid w:val="36541A28"/>
    <w:rsid w:val="36624145"/>
    <w:rsid w:val="366E09C9"/>
    <w:rsid w:val="369A2841"/>
    <w:rsid w:val="369F3CD4"/>
    <w:rsid w:val="36BD75CE"/>
    <w:rsid w:val="371050B8"/>
    <w:rsid w:val="37432BA4"/>
    <w:rsid w:val="374A0972"/>
    <w:rsid w:val="376712E7"/>
    <w:rsid w:val="376FB6CC"/>
    <w:rsid w:val="37751BBC"/>
    <w:rsid w:val="377685B1"/>
    <w:rsid w:val="379A16BD"/>
    <w:rsid w:val="37BB2163"/>
    <w:rsid w:val="37CF47B6"/>
    <w:rsid w:val="37D5281F"/>
    <w:rsid w:val="37D56575"/>
    <w:rsid w:val="37DB5EC6"/>
    <w:rsid w:val="37DC7A31"/>
    <w:rsid w:val="37DF20C4"/>
    <w:rsid w:val="37E251BE"/>
    <w:rsid w:val="37E66B23"/>
    <w:rsid w:val="37E7CBC1"/>
    <w:rsid w:val="37E82428"/>
    <w:rsid w:val="37E868CC"/>
    <w:rsid w:val="37F791B1"/>
    <w:rsid w:val="37FFFE50"/>
    <w:rsid w:val="38201673"/>
    <w:rsid w:val="38237567"/>
    <w:rsid w:val="382471D8"/>
    <w:rsid w:val="3837038B"/>
    <w:rsid w:val="38372F5C"/>
    <w:rsid w:val="385C6972"/>
    <w:rsid w:val="389A55DB"/>
    <w:rsid w:val="38C22C79"/>
    <w:rsid w:val="38DFC7EF"/>
    <w:rsid w:val="393613E5"/>
    <w:rsid w:val="39424B74"/>
    <w:rsid w:val="395F496C"/>
    <w:rsid w:val="396E1053"/>
    <w:rsid w:val="397A08A5"/>
    <w:rsid w:val="39AD9AB2"/>
    <w:rsid w:val="39B82AB1"/>
    <w:rsid w:val="39BB91F0"/>
    <w:rsid w:val="39C69CB1"/>
    <w:rsid w:val="39CF674E"/>
    <w:rsid w:val="3A0F57EA"/>
    <w:rsid w:val="3A330458"/>
    <w:rsid w:val="3A6A0CCC"/>
    <w:rsid w:val="3A724344"/>
    <w:rsid w:val="3A83468A"/>
    <w:rsid w:val="3AAB0B9B"/>
    <w:rsid w:val="3AC3717D"/>
    <w:rsid w:val="3AD969A0"/>
    <w:rsid w:val="3AFD5CFA"/>
    <w:rsid w:val="3B273398"/>
    <w:rsid w:val="3B4915F5"/>
    <w:rsid w:val="3B570F2C"/>
    <w:rsid w:val="3B633EE6"/>
    <w:rsid w:val="3B678EC1"/>
    <w:rsid w:val="3B7FC6C6"/>
    <w:rsid w:val="3BB555C6"/>
    <w:rsid w:val="3BBFFBB1"/>
    <w:rsid w:val="3BDE9154"/>
    <w:rsid w:val="3BEF9F7A"/>
    <w:rsid w:val="3BFDC1BC"/>
    <w:rsid w:val="3BFE4996"/>
    <w:rsid w:val="3BFF40E0"/>
    <w:rsid w:val="3C0E1025"/>
    <w:rsid w:val="3C1A2DCC"/>
    <w:rsid w:val="3C312091"/>
    <w:rsid w:val="3C3711A0"/>
    <w:rsid w:val="3C373913"/>
    <w:rsid w:val="3C55BB14"/>
    <w:rsid w:val="3C69674F"/>
    <w:rsid w:val="3C6E0CE2"/>
    <w:rsid w:val="3C9F030F"/>
    <w:rsid w:val="3CBE05CE"/>
    <w:rsid w:val="3CCB246B"/>
    <w:rsid w:val="3D0B5678"/>
    <w:rsid w:val="3D23425F"/>
    <w:rsid w:val="3D4C7F20"/>
    <w:rsid w:val="3D510A70"/>
    <w:rsid w:val="3D531BD8"/>
    <w:rsid w:val="3D567A39"/>
    <w:rsid w:val="3D712168"/>
    <w:rsid w:val="3D7C5FE7"/>
    <w:rsid w:val="3D7CA603"/>
    <w:rsid w:val="3DCC6B68"/>
    <w:rsid w:val="3DD75419"/>
    <w:rsid w:val="3DF5BAD6"/>
    <w:rsid w:val="3DFFBC38"/>
    <w:rsid w:val="3E1B0F93"/>
    <w:rsid w:val="3E5D1061"/>
    <w:rsid w:val="3E603F0A"/>
    <w:rsid w:val="3E6350CC"/>
    <w:rsid w:val="3E9D4E72"/>
    <w:rsid w:val="3E9E6A1F"/>
    <w:rsid w:val="3EA44A09"/>
    <w:rsid w:val="3EB38693"/>
    <w:rsid w:val="3ECC7609"/>
    <w:rsid w:val="3EF93162"/>
    <w:rsid w:val="3EFBDE91"/>
    <w:rsid w:val="3F0861ED"/>
    <w:rsid w:val="3F1B9416"/>
    <w:rsid w:val="3F1DB58D"/>
    <w:rsid w:val="3F222FE0"/>
    <w:rsid w:val="3F29D09D"/>
    <w:rsid w:val="3F3BCFA0"/>
    <w:rsid w:val="3F465E11"/>
    <w:rsid w:val="3F46EDC8"/>
    <w:rsid w:val="3F49778D"/>
    <w:rsid w:val="3F659F57"/>
    <w:rsid w:val="3F7A8AD6"/>
    <w:rsid w:val="3F7C3854"/>
    <w:rsid w:val="3F7DC8EC"/>
    <w:rsid w:val="3F7E4320"/>
    <w:rsid w:val="3F7EA949"/>
    <w:rsid w:val="3F939827"/>
    <w:rsid w:val="3FBEBA51"/>
    <w:rsid w:val="3FC810AC"/>
    <w:rsid w:val="3FDEC9F5"/>
    <w:rsid w:val="3FDF4418"/>
    <w:rsid w:val="3FDFA922"/>
    <w:rsid w:val="3FEBA76A"/>
    <w:rsid w:val="3FEC482B"/>
    <w:rsid w:val="3FEF4261"/>
    <w:rsid w:val="3FF8E492"/>
    <w:rsid w:val="3FFB8801"/>
    <w:rsid w:val="3FFF0893"/>
    <w:rsid w:val="3FFF3E0E"/>
    <w:rsid w:val="40044CA3"/>
    <w:rsid w:val="40072194"/>
    <w:rsid w:val="402F009C"/>
    <w:rsid w:val="40624EF6"/>
    <w:rsid w:val="40671125"/>
    <w:rsid w:val="40742CC1"/>
    <w:rsid w:val="407E7DCE"/>
    <w:rsid w:val="40900279"/>
    <w:rsid w:val="409E1999"/>
    <w:rsid w:val="40A22EBF"/>
    <w:rsid w:val="40BE466E"/>
    <w:rsid w:val="40C41559"/>
    <w:rsid w:val="40C8729B"/>
    <w:rsid w:val="40CB1D5D"/>
    <w:rsid w:val="40FF4D48"/>
    <w:rsid w:val="411B561D"/>
    <w:rsid w:val="41250249"/>
    <w:rsid w:val="412D10FA"/>
    <w:rsid w:val="413C5593"/>
    <w:rsid w:val="419E09E1"/>
    <w:rsid w:val="41C072C4"/>
    <w:rsid w:val="420460B1"/>
    <w:rsid w:val="422C5607"/>
    <w:rsid w:val="422E1FA9"/>
    <w:rsid w:val="42593699"/>
    <w:rsid w:val="42882D2E"/>
    <w:rsid w:val="428B2A4F"/>
    <w:rsid w:val="429C0C25"/>
    <w:rsid w:val="42A20F87"/>
    <w:rsid w:val="42A338A7"/>
    <w:rsid w:val="43210CDB"/>
    <w:rsid w:val="435D2AB3"/>
    <w:rsid w:val="439671DC"/>
    <w:rsid w:val="43A43E0B"/>
    <w:rsid w:val="43E819D5"/>
    <w:rsid w:val="43EC0986"/>
    <w:rsid w:val="43F32881"/>
    <w:rsid w:val="44452751"/>
    <w:rsid w:val="448160DE"/>
    <w:rsid w:val="44857BE4"/>
    <w:rsid w:val="44CC44F5"/>
    <w:rsid w:val="44CD1324"/>
    <w:rsid w:val="44D04970"/>
    <w:rsid w:val="44DD0E3B"/>
    <w:rsid w:val="44DF1057"/>
    <w:rsid w:val="44E54453"/>
    <w:rsid w:val="450E5498"/>
    <w:rsid w:val="45221EC2"/>
    <w:rsid w:val="45412D37"/>
    <w:rsid w:val="45602A50"/>
    <w:rsid w:val="458C52A1"/>
    <w:rsid w:val="459736E0"/>
    <w:rsid w:val="45A12A1F"/>
    <w:rsid w:val="45C90F49"/>
    <w:rsid w:val="45E36925"/>
    <w:rsid w:val="45E37B58"/>
    <w:rsid w:val="45EA1A61"/>
    <w:rsid w:val="45FA2B93"/>
    <w:rsid w:val="45FC4415"/>
    <w:rsid w:val="45FEF727"/>
    <w:rsid w:val="46181376"/>
    <w:rsid w:val="46193DD2"/>
    <w:rsid w:val="46364CA7"/>
    <w:rsid w:val="464C19A5"/>
    <w:rsid w:val="465D0DA4"/>
    <w:rsid w:val="469E22EF"/>
    <w:rsid w:val="46A572C7"/>
    <w:rsid w:val="46BE763A"/>
    <w:rsid w:val="46CD7EB5"/>
    <w:rsid w:val="46E464B1"/>
    <w:rsid w:val="46EE59A3"/>
    <w:rsid w:val="46FA6014"/>
    <w:rsid w:val="47022DDB"/>
    <w:rsid w:val="470F0543"/>
    <w:rsid w:val="473CE391"/>
    <w:rsid w:val="476B6BD2"/>
    <w:rsid w:val="477B3701"/>
    <w:rsid w:val="47894117"/>
    <w:rsid w:val="478B1022"/>
    <w:rsid w:val="47906638"/>
    <w:rsid w:val="47961EA1"/>
    <w:rsid w:val="47AD0F98"/>
    <w:rsid w:val="47AD71EA"/>
    <w:rsid w:val="47BB89FD"/>
    <w:rsid w:val="47D613CB"/>
    <w:rsid w:val="47DE11EE"/>
    <w:rsid w:val="47E70571"/>
    <w:rsid w:val="482A4C90"/>
    <w:rsid w:val="48487415"/>
    <w:rsid w:val="484D62D8"/>
    <w:rsid w:val="485673C8"/>
    <w:rsid w:val="48D3302F"/>
    <w:rsid w:val="48E82765"/>
    <w:rsid w:val="48FF75D2"/>
    <w:rsid w:val="492B1902"/>
    <w:rsid w:val="49437FED"/>
    <w:rsid w:val="4970227E"/>
    <w:rsid w:val="49AE2DA6"/>
    <w:rsid w:val="49B7E4B5"/>
    <w:rsid w:val="4A1B48DF"/>
    <w:rsid w:val="4A2A68D0"/>
    <w:rsid w:val="4A5D0A54"/>
    <w:rsid w:val="4A7C09A8"/>
    <w:rsid w:val="4A7FD875"/>
    <w:rsid w:val="4A8F2BD7"/>
    <w:rsid w:val="4ABD5996"/>
    <w:rsid w:val="4AC52021"/>
    <w:rsid w:val="4AF64A60"/>
    <w:rsid w:val="4B4A341A"/>
    <w:rsid w:val="4B677B2F"/>
    <w:rsid w:val="4B90799F"/>
    <w:rsid w:val="4BAB14CA"/>
    <w:rsid w:val="4BEA14D5"/>
    <w:rsid w:val="4BFE24B2"/>
    <w:rsid w:val="4C0D2006"/>
    <w:rsid w:val="4C286E40"/>
    <w:rsid w:val="4C455C43"/>
    <w:rsid w:val="4C55054E"/>
    <w:rsid w:val="4C6F0F12"/>
    <w:rsid w:val="4C934C01"/>
    <w:rsid w:val="4C96639C"/>
    <w:rsid w:val="4C9B3B4E"/>
    <w:rsid w:val="4CBC3B05"/>
    <w:rsid w:val="4CDA1B69"/>
    <w:rsid w:val="4D39745F"/>
    <w:rsid w:val="4D772DCB"/>
    <w:rsid w:val="4D970721"/>
    <w:rsid w:val="4D9979D8"/>
    <w:rsid w:val="4DAFF802"/>
    <w:rsid w:val="4DDC6BC5"/>
    <w:rsid w:val="4DFD4F0A"/>
    <w:rsid w:val="4E1402DE"/>
    <w:rsid w:val="4E4C73A3"/>
    <w:rsid w:val="4E641F1A"/>
    <w:rsid w:val="4E6F3F3D"/>
    <w:rsid w:val="4ECF1271"/>
    <w:rsid w:val="4ED25E5C"/>
    <w:rsid w:val="4EDA5AAA"/>
    <w:rsid w:val="4EF86CC0"/>
    <w:rsid w:val="4EF94AC3"/>
    <w:rsid w:val="4F1639D2"/>
    <w:rsid w:val="4F3C4B90"/>
    <w:rsid w:val="4F936CC6"/>
    <w:rsid w:val="4F9735BA"/>
    <w:rsid w:val="4F9A62A6"/>
    <w:rsid w:val="4F9F1B0F"/>
    <w:rsid w:val="4FB749F0"/>
    <w:rsid w:val="4FB8497E"/>
    <w:rsid w:val="4FBFC979"/>
    <w:rsid w:val="4FC71561"/>
    <w:rsid w:val="4FD73056"/>
    <w:rsid w:val="4FDC17DF"/>
    <w:rsid w:val="4FE44618"/>
    <w:rsid w:val="4FF30539"/>
    <w:rsid w:val="4FF57773"/>
    <w:rsid w:val="4FF9A782"/>
    <w:rsid w:val="4FFB7226"/>
    <w:rsid w:val="4FFD3F23"/>
    <w:rsid w:val="501F49FD"/>
    <w:rsid w:val="502A5888"/>
    <w:rsid w:val="503E4E84"/>
    <w:rsid w:val="504B393E"/>
    <w:rsid w:val="505550D7"/>
    <w:rsid w:val="5074270E"/>
    <w:rsid w:val="50744D49"/>
    <w:rsid w:val="507B21F4"/>
    <w:rsid w:val="50835A1F"/>
    <w:rsid w:val="50A7016E"/>
    <w:rsid w:val="50AC6291"/>
    <w:rsid w:val="50EF43D0"/>
    <w:rsid w:val="50FC089B"/>
    <w:rsid w:val="512621FC"/>
    <w:rsid w:val="51713BAA"/>
    <w:rsid w:val="517D56D5"/>
    <w:rsid w:val="51812DB4"/>
    <w:rsid w:val="5184518E"/>
    <w:rsid w:val="51D23526"/>
    <w:rsid w:val="51E66682"/>
    <w:rsid w:val="5229185E"/>
    <w:rsid w:val="52432C25"/>
    <w:rsid w:val="5268443A"/>
    <w:rsid w:val="52AD5B3E"/>
    <w:rsid w:val="52C222A5"/>
    <w:rsid w:val="52DF320A"/>
    <w:rsid w:val="52F10B4A"/>
    <w:rsid w:val="52F5521E"/>
    <w:rsid w:val="52FDB3B4"/>
    <w:rsid w:val="530028C4"/>
    <w:rsid w:val="531142D2"/>
    <w:rsid w:val="531913A2"/>
    <w:rsid w:val="531F0FF7"/>
    <w:rsid w:val="53236894"/>
    <w:rsid w:val="53B378F1"/>
    <w:rsid w:val="53BABE2C"/>
    <w:rsid w:val="53FB3CD3"/>
    <w:rsid w:val="541A1764"/>
    <w:rsid w:val="547643A4"/>
    <w:rsid w:val="547EEA6A"/>
    <w:rsid w:val="54882B71"/>
    <w:rsid w:val="549F610D"/>
    <w:rsid w:val="54C85664"/>
    <w:rsid w:val="54DF6509"/>
    <w:rsid w:val="54EF976B"/>
    <w:rsid w:val="550D55D1"/>
    <w:rsid w:val="55213B45"/>
    <w:rsid w:val="552F0DC7"/>
    <w:rsid w:val="553158A2"/>
    <w:rsid w:val="553D4774"/>
    <w:rsid w:val="554D777B"/>
    <w:rsid w:val="557C720E"/>
    <w:rsid w:val="559F18EC"/>
    <w:rsid w:val="55A95CB8"/>
    <w:rsid w:val="55BF0129"/>
    <w:rsid w:val="55FE03D8"/>
    <w:rsid w:val="55FF402D"/>
    <w:rsid w:val="55FF651E"/>
    <w:rsid w:val="561019BC"/>
    <w:rsid w:val="565F5B54"/>
    <w:rsid w:val="56773230"/>
    <w:rsid w:val="567C24C2"/>
    <w:rsid w:val="567FE056"/>
    <w:rsid w:val="56853574"/>
    <w:rsid w:val="568850AA"/>
    <w:rsid w:val="569D25CB"/>
    <w:rsid w:val="56A33C92"/>
    <w:rsid w:val="56C87B9D"/>
    <w:rsid w:val="56E36785"/>
    <w:rsid w:val="574A05B2"/>
    <w:rsid w:val="576C677A"/>
    <w:rsid w:val="57ABE97A"/>
    <w:rsid w:val="57B3FD01"/>
    <w:rsid w:val="57EF2F07"/>
    <w:rsid w:val="57EF4CB5"/>
    <w:rsid w:val="57FFF798"/>
    <w:rsid w:val="58047A99"/>
    <w:rsid w:val="58472D43"/>
    <w:rsid w:val="58AAFE99"/>
    <w:rsid w:val="58C16652"/>
    <w:rsid w:val="58D95C71"/>
    <w:rsid w:val="59036C6A"/>
    <w:rsid w:val="59306CDC"/>
    <w:rsid w:val="594827D5"/>
    <w:rsid w:val="59505ACE"/>
    <w:rsid w:val="595079D6"/>
    <w:rsid w:val="595735A2"/>
    <w:rsid w:val="59655912"/>
    <w:rsid w:val="59AF6DF2"/>
    <w:rsid w:val="59AFC974"/>
    <w:rsid w:val="59CD62FE"/>
    <w:rsid w:val="59D465F5"/>
    <w:rsid w:val="59D800F7"/>
    <w:rsid w:val="59ED2925"/>
    <w:rsid w:val="59F741B6"/>
    <w:rsid w:val="5A221372"/>
    <w:rsid w:val="5A803764"/>
    <w:rsid w:val="5A81003E"/>
    <w:rsid w:val="5ABF4872"/>
    <w:rsid w:val="5AD7882D"/>
    <w:rsid w:val="5AE27845"/>
    <w:rsid w:val="5AEF139E"/>
    <w:rsid w:val="5AF744DA"/>
    <w:rsid w:val="5AF8B1E8"/>
    <w:rsid w:val="5AF947C9"/>
    <w:rsid w:val="5AFD3FFA"/>
    <w:rsid w:val="5B33135D"/>
    <w:rsid w:val="5B5B0B94"/>
    <w:rsid w:val="5B7EE6A5"/>
    <w:rsid w:val="5B9BFEAE"/>
    <w:rsid w:val="5BA83A36"/>
    <w:rsid w:val="5BBB2F02"/>
    <w:rsid w:val="5BDCAF1C"/>
    <w:rsid w:val="5BDE39BF"/>
    <w:rsid w:val="5BDF643E"/>
    <w:rsid w:val="5BE90261"/>
    <w:rsid w:val="5BED529B"/>
    <w:rsid w:val="5C17573F"/>
    <w:rsid w:val="5C4035E0"/>
    <w:rsid w:val="5C683A4F"/>
    <w:rsid w:val="5C73BDFD"/>
    <w:rsid w:val="5C7C42E4"/>
    <w:rsid w:val="5C9F08E2"/>
    <w:rsid w:val="5CB44EB9"/>
    <w:rsid w:val="5CCA3EEF"/>
    <w:rsid w:val="5CDF3012"/>
    <w:rsid w:val="5CF977E4"/>
    <w:rsid w:val="5D5B70A6"/>
    <w:rsid w:val="5D67B3B1"/>
    <w:rsid w:val="5D7D8586"/>
    <w:rsid w:val="5D947B2E"/>
    <w:rsid w:val="5D996534"/>
    <w:rsid w:val="5DA52CD8"/>
    <w:rsid w:val="5DB744C7"/>
    <w:rsid w:val="5DEF1E11"/>
    <w:rsid w:val="5E9F0293"/>
    <w:rsid w:val="5EA52572"/>
    <w:rsid w:val="5EB78BDC"/>
    <w:rsid w:val="5EB82887"/>
    <w:rsid w:val="5EBDBD16"/>
    <w:rsid w:val="5EDF525F"/>
    <w:rsid w:val="5EFF7ED4"/>
    <w:rsid w:val="5F1C0EB4"/>
    <w:rsid w:val="5F2128FB"/>
    <w:rsid w:val="5F5521EA"/>
    <w:rsid w:val="5F587C40"/>
    <w:rsid w:val="5F5EF1B2"/>
    <w:rsid w:val="5F6FB310"/>
    <w:rsid w:val="5F7BB19F"/>
    <w:rsid w:val="5F7EE8AF"/>
    <w:rsid w:val="5F8022D9"/>
    <w:rsid w:val="5F8637E8"/>
    <w:rsid w:val="5F922AF6"/>
    <w:rsid w:val="5F9A327F"/>
    <w:rsid w:val="5FAF9B0C"/>
    <w:rsid w:val="5FBE66BA"/>
    <w:rsid w:val="5FBF5989"/>
    <w:rsid w:val="5FCDDD3D"/>
    <w:rsid w:val="5FCE9EEA"/>
    <w:rsid w:val="5FDE7C52"/>
    <w:rsid w:val="5FDFFEBC"/>
    <w:rsid w:val="5FEB31D0"/>
    <w:rsid w:val="5FF781ED"/>
    <w:rsid w:val="5FF7ED41"/>
    <w:rsid w:val="5FFD719E"/>
    <w:rsid w:val="5FFE018B"/>
    <w:rsid w:val="5FFEB3A2"/>
    <w:rsid w:val="5FFF4132"/>
    <w:rsid w:val="5FFFC719"/>
    <w:rsid w:val="5FFFF829"/>
    <w:rsid w:val="60341DFF"/>
    <w:rsid w:val="607C109C"/>
    <w:rsid w:val="607C1252"/>
    <w:rsid w:val="609C5056"/>
    <w:rsid w:val="60A24FBB"/>
    <w:rsid w:val="60AB0AE3"/>
    <w:rsid w:val="60CAFE72"/>
    <w:rsid w:val="60FE6010"/>
    <w:rsid w:val="610619ED"/>
    <w:rsid w:val="611C241C"/>
    <w:rsid w:val="617D0A50"/>
    <w:rsid w:val="61D92DE6"/>
    <w:rsid w:val="61DED416"/>
    <w:rsid w:val="61FD3AE5"/>
    <w:rsid w:val="62083543"/>
    <w:rsid w:val="62195745"/>
    <w:rsid w:val="6224C446"/>
    <w:rsid w:val="623F2C6D"/>
    <w:rsid w:val="62404C02"/>
    <w:rsid w:val="624D71A8"/>
    <w:rsid w:val="62514EEA"/>
    <w:rsid w:val="625B7B17"/>
    <w:rsid w:val="626D24DE"/>
    <w:rsid w:val="62894684"/>
    <w:rsid w:val="62981606"/>
    <w:rsid w:val="629B6165"/>
    <w:rsid w:val="62DD22DA"/>
    <w:rsid w:val="63016E98"/>
    <w:rsid w:val="63283A59"/>
    <w:rsid w:val="632E7E4C"/>
    <w:rsid w:val="636522D0"/>
    <w:rsid w:val="637F1B58"/>
    <w:rsid w:val="63C92321"/>
    <w:rsid w:val="63DF4774"/>
    <w:rsid w:val="63FFF8DB"/>
    <w:rsid w:val="648A0240"/>
    <w:rsid w:val="64A32268"/>
    <w:rsid w:val="64FF5A4C"/>
    <w:rsid w:val="656327E9"/>
    <w:rsid w:val="6573E3D3"/>
    <w:rsid w:val="657B62F9"/>
    <w:rsid w:val="657F7B04"/>
    <w:rsid w:val="65D7505D"/>
    <w:rsid w:val="65DC3555"/>
    <w:rsid w:val="65E21C31"/>
    <w:rsid w:val="65ECEE9C"/>
    <w:rsid w:val="65F55BA8"/>
    <w:rsid w:val="65F63CF3"/>
    <w:rsid w:val="65FC207D"/>
    <w:rsid w:val="65FE289A"/>
    <w:rsid w:val="65FFFD79"/>
    <w:rsid w:val="66267257"/>
    <w:rsid w:val="663F14FE"/>
    <w:rsid w:val="66937CE1"/>
    <w:rsid w:val="66B21CD0"/>
    <w:rsid w:val="66EA100C"/>
    <w:rsid w:val="66F14577"/>
    <w:rsid w:val="6735657C"/>
    <w:rsid w:val="67684380"/>
    <w:rsid w:val="677B6565"/>
    <w:rsid w:val="67BB2212"/>
    <w:rsid w:val="67BC6137"/>
    <w:rsid w:val="67BC66B2"/>
    <w:rsid w:val="67BDACCA"/>
    <w:rsid w:val="67C64436"/>
    <w:rsid w:val="67D77C40"/>
    <w:rsid w:val="67FDF70C"/>
    <w:rsid w:val="68166636"/>
    <w:rsid w:val="68336E40"/>
    <w:rsid w:val="685F6EB3"/>
    <w:rsid w:val="687A4A6F"/>
    <w:rsid w:val="688D6DD8"/>
    <w:rsid w:val="68951A5F"/>
    <w:rsid w:val="68B5103C"/>
    <w:rsid w:val="68D66149"/>
    <w:rsid w:val="696066A9"/>
    <w:rsid w:val="69895CD7"/>
    <w:rsid w:val="69901FCA"/>
    <w:rsid w:val="69D70A46"/>
    <w:rsid w:val="69D9075E"/>
    <w:rsid w:val="69DA6673"/>
    <w:rsid w:val="69EE78DD"/>
    <w:rsid w:val="6A072332"/>
    <w:rsid w:val="6A0F719E"/>
    <w:rsid w:val="6A1119AC"/>
    <w:rsid w:val="6A1646A3"/>
    <w:rsid w:val="6A403ED9"/>
    <w:rsid w:val="6A58493C"/>
    <w:rsid w:val="6A5A74DA"/>
    <w:rsid w:val="6A7A265C"/>
    <w:rsid w:val="6A815C41"/>
    <w:rsid w:val="6A982DEB"/>
    <w:rsid w:val="6A9F07BD"/>
    <w:rsid w:val="6AA66AB5"/>
    <w:rsid w:val="6AAC5C3C"/>
    <w:rsid w:val="6AC975E8"/>
    <w:rsid w:val="6ADA6134"/>
    <w:rsid w:val="6AE41DB7"/>
    <w:rsid w:val="6B563571"/>
    <w:rsid w:val="6B5B0DCC"/>
    <w:rsid w:val="6B6E08BB"/>
    <w:rsid w:val="6B6F018F"/>
    <w:rsid w:val="6B8F69CA"/>
    <w:rsid w:val="6BA13C28"/>
    <w:rsid w:val="6BAE6F0A"/>
    <w:rsid w:val="6BB7C33B"/>
    <w:rsid w:val="6BDAA1CB"/>
    <w:rsid w:val="6BDB9E97"/>
    <w:rsid w:val="6BE7410A"/>
    <w:rsid w:val="6BEF647C"/>
    <w:rsid w:val="6BF80717"/>
    <w:rsid w:val="6BFB7D7A"/>
    <w:rsid w:val="6BFC6E54"/>
    <w:rsid w:val="6BFF8B7F"/>
    <w:rsid w:val="6BFFF9F1"/>
    <w:rsid w:val="6C1CC7BF"/>
    <w:rsid w:val="6C4746FB"/>
    <w:rsid w:val="6CB10BF2"/>
    <w:rsid w:val="6CBF4531"/>
    <w:rsid w:val="6CDE580B"/>
    <w:rsid w:val="6CEECC61"/>
    <w:rsid w:val="6D047526"/>
    <w:rsid w:val="6D4F0278"/>
    <w:rsid w:val="6D6D1F81"/>
    <w:rsid w:val="6D740571"/>
    <w:rsid w:val="6DA87988"/>
    <w:rsid w:val="6DB1683D"/>
    <w:rsid w:val="6DCB3A6F"/>
    <w:rsid w:val="6DD24A05"/>
    <w:rsid w:val="6DDF392B"/>
    <w:rsid w:val="6DE37CA5"/>
    <w:rsid w:val="6DEE0AAA"/>
    <w:rsid w:val="6E5F7D0F"/>
    <w:rsid w:val="6E75141C"/>
    <w:rsid w:val="6E7F0016"/>
    <w:rsid w:val="6E7F7C1D"/>
    <w:rsid w:val="6EB65494"/>
    <w:rsid w:val="6EDF2EF5"/>
    <w:rsid w:val="6EFF6BEE"/>
    <w:rsid w:val="6F025213"/>
    <w:rsid w:val="6F0D3F9D"/>
    <w:rsid w:val="6F135451"/>
    <w:rsid w:val="6F32464E"/>
    <w:rsid w:val="6F440275"/>
    <w:rsid w:val="6F6779BF"/>
    <w:rsid w:val="6F76C36A"/>
    <w:rsid w:val="6F7A1CD9"/>
    <w:rsid w:val="6F7C5EAC"/>
    <w:rsid w:val="6F8B0D32"/>
    <w:rsid w:val="6F9D8414"/>
    <w:rsid w:val="6FB29C54"/>
    <w:rsid w:val="6FBC0A83"/>
    <w:rsid w:val="6FCF088D"/>
    <w:rsid w:val="6FD93E26"/>
    <w:rsid w:val="6FDAC878"/>
    <w:rsid w:val="6FDAF81D"/>
    <w:rsid w:val="6FDE7D56"/>
    <w:rsid w:val="6FDF0210"/>
    <w:rsid w:val="6FE63398"/>
    <w:rsid w:val="6FE71A95"/>
    <w:rsid w:val="6FE949B4"/>
    <w:rsid w:val="6FF99662"/>
    <w:rsid w:val="6FFB5BF5"/>
    <w:rsid w:val="6FFBDA12"/>
    <w:rsid w:val="6FFE4EF0"/>
    <w:rsid w:val="6FFEBE04"/>
    <w:rsid w:val="6FFEFE37"/>
    <w:rsid w:val="6FFF1443"/>
    <w:rsid w:val="6FFF4C4B"/>
    <w:rsid w:val="6FFF54C9"/>
    <w:rsid w:val="6FFF59E6"/>
    <w:rsid w:val="6FFF68E3"/>
    <w:rsid w:val="6FFFBC86"/>
    <w:rsid w:val="70207CAA"/>
    <w:rsid w:val="70241EE0"/>
    <w:rsid w:val="702C275E"/>
    <w:rsid w:val="70357BF9"/>
    <w:rsid w:val="70672630"/>
    <w:rsid w:val="70A566AB"/>
    <w:rsid w:val="70F869CD"/>
    <w:rsid w:val="70F86D26"/>
    <w:rsid w:val="70FF45FE"/>
    <w:rsid w:val="710475CC"/>
    <w:rsid w:val="71096990"/>
    <w:rsid w:val="7128128D"/>
    <w:rsid w:val="71364909"/>
    <w:rsid w:val="714300F4"/>
    <w:rsid w:val="714B7705"/>
    <w:rsid w:val="716ECA01"/>
    <w:rsid w:val="719C63DF"/>
    <w:rsid w:val="71B615C9"/>
    <w:rsid w:val="71B63E66"/>
    <w:rsid w:val="71EC078C"/>
    <w:rsid w:val="72301186"/>
    <w:rsid w:val="723D4B43"/>
    <w:rsid w:val="725A6447"/>
    <w:rsid w:val="727644F9"/>
    <w:rsid w:val="72F01BB6"/>
    <w:rsid w:val="72FB055A"/>
    <w:rsid w:val="730D5D09"/>
    <w:rsid w:val="731C29AB"/>
    <w:rsid w:val="73216213"/>
    <w:rsid w:val="73656E0A"/>
    <w:rsid w:val="737C4F39"/>
    <w:rsid w:val="738A0C66"/>
    <w:rsid w:val="73BB6668"/>
    <w:rsid w:val="73E63D73"/>
    <w:rsid w:val="73E6C0D1"/>
    <w:rsid w:val="73F5BE08"/>
    <w:rsid w:val="73FBA95D"/>
    <w:rsid w:val="73FDFFD6"/>
    <w:rsid w:val="73FF354D"/>
    <w:rsid w:val="74033B6B"/>
    <w:rsid w:val="74393A30"/>
    <w:rsid w:val="744245F4"/>
    <w:rsid w:val="74562D73"/>
    <w:rsid w:val="7457323E"/>
    <w:rsid w:val="74A54C22"/>
    <w:rsid w:val="74CE0232"/>
    <w:rsid w:val="74DB7AC1"/>
    <w:rsid w:val="74F6722B"/>
    <w:rsid w:val="74FE3782"/>
    <w:rsid w:val="75134281"/>
    <w:rsid w:val="754DB126"/>
    <w:rsid w:val="75524DAA"/>
    <w:rsid w:val="755A4626"/>
    <w:rsid w:val="755B4EE8"/>
    <w:rsid w:val="75BD4333"/>
    <w:rsid w:val="75BFFF81"/>
    <w:rsid w:val="75E13554"/>
    <w:rsid w:val="75EC5C91"/>
    <w:rsid w:val="75EFD645"/>
    <w:rsid w:val="75F303C2"/>
    <w:rsid w:val="75F6ACD7"/>
    <w:rsid w:val="760E43FB"/>
    <w:rsid w:val="761338CF"/>
    <w:rsid w:val="761E5D03"/>
    <w:rsid w:val="762A53DF"/>
    <w:rsid w:val="764A3ADC"/>
    <w:rsid w:val="765B3F2D"/>
    <w:rsid w:val="76731453"/>
    <w:rsid w:val="767F0A1D"/>
    <w:rsid w:val="7697F30B"/>
    <w:rsid w:val="76982C90"/>
    <w:rsid w:val="76BB076B"/>
    <w:rsid w:val="76C5391B"/>
    <w:rsid w:val="76DD4B47"/>
    <w:rsid w:val="76DDFB2C"/>
    <w:rsid w:val="76F7FE86"/>
    <w:rsid w:val="76F8FEAE"/>
    <w:rsid w:val="77073972"/>
    <w:rsid w:val="7718792D"/>
    <w:rsid w:val="77403E53"/>
    <w:rsid w:val="77570FA8"/>
    <w:rsid w:val="776F54C8"/>
    <w:rsid w:val="777E6A24"/>
    <w:rsid w:val="779108EB"/>
    <w:rsid w:val="7795F43F"/>
    <w:rsid w:val="77A0211E"/>
    <w:rsid w:val="77A34190"/>
    <w:rsid w:val="77BB52AE"/>
    <w:rsid w:val="77D39F77"/>
    <w:rsid w:val="77D3CC90"/>
    <w:rsid w:val="77D7E741"/>
    <w:rsid w:val="77DB7435"/>
    <w:rsid w:val="77DE11DF"/>
    <w:rsid w:val="77DF1A28"/>
    <w:rsid w:val="77E3682C"/>
    <w:rsid w:val="77E61B9A"/>
    <w:rsid w:val="77E7888E"/>
    <w:rsid w:val="77ED2295"/>
    <w:rsid w:val="77EF3802"/>
    <w:rsid w:val="77F2AF42"/>
    <w:rsid w:val="77FEA335"/>
    <w:rsid w:val="77FF0F63"/>
    <w:rsid w:val="78322C70"/>
    <w:rsid w:val="784A620C"/>
    <w:rsid w:val="784C2381"/>
    <w:rsid w:val="7865175D"/>
    <w:rsid w:val="78874D6A"/>
    <w:rsid w:val="789E4930"/>
    <w:rsid w:val="78AA42BD"/>
    <w:rsid w:val="78D23F5A"/>
    <w:rsid w:val="78E1196C"/>
    <w:rsid w:val="78F62113"/>
    <w:rsid w:val="797B5C4F"/>
    <w:rsid w:val="79BC4EE7"/>
    <w:rsid w:val="79D060FF"/>
    <w:rsid w:val="79DF997F"/>
    <w:rsid w:val="79EF2DBA"/>
    <w:rsid w:val="79F3606F"/>
    <w:rsid w:val="79F4DBC9"/>
    <w:rsid w:val="79FE36D6"/>
    <w:rsid w:val="7A6A04A0"/>
    <w:rsid w:val="7A6B18FD"/>
    <w:rsid w:val="7A7391D8"/>
    <w:rsid w:val="7ABD2CC5"/>
    <w:rsid w:val="7ADBD6C2"/>
    <w:rsid w:val="7AE22B3E"/>
    <w:rsid w:val="7AE7DC2E"/>
    <w:rsid w:val="7AEB2575"/>
    <w:rsid w:val="7AF3BC8D"/>
    <w:rsid w:val="7AF3F90D"/>
    <w:rsid w:val="7AF9BA7D"/>
    <w:rsid w:val="7B0C6CB3"/>
    <w:rsid w:val="7B3E4126"/>
    <w:rsid w:val="7B5D6256"/>
    <w:rsid w:val="7B7498CE"/>
    <w:rsid w:val="7B944CB6"/>
    <w:rsid w:val="7B9719FA"/>
    <w:rsid w:val="7B9B449A"/>
    <w:rsid w:val="7BA07EF1"/>
    <w:rsid w:val="7BAA5FB1"/>
    <w:rsid w:val="7BAF3632"/>
    <w:rsid w:val="7BB6EB5A"/>
    <w:rsid w:val="7BBB110D"/>
    <w:rsid w:val="7BBB8E5D"/>
    <w:rsid w:val="7BBD8543"/>
    <w:rsid w:val="7BBF6CC2"/>
    <w:rsid w:val="7BBF901C"/>
    <w:rsid w:val="7BBF98C3"/>
    <w:rsid w:val="7BCE7867"/>
    <w:rsid w:val="7BCF4EF3"/>
    <w:rsid w:val="7BD5E65E"/>
    <w:rsid w:val="7BDEB05C"/>
    <w:rsid w:val="7BE92A89"/>
    <w:rsid w:val="7BF54C44"/>
    <w:rsid w:val="7BFAEB6D"/>
    <w:rsid w:val="7BFE4FF5"/>
    <w:rsid w:val="7BFEAEBA"/>
    <w:rsid w:val="7BFED7BB"/>
    <w:rsid w:val="7BFF4479"/>
    <w:rsid w:val="7BFF64A8"/>
    <w:rsid w:val="7BFF6BFB"/>
    <w:rsid w:val="7BFFE37E"/>
    <w:rsid w:val="7C016BE2"/>
    <w:rsid w:val="7C0861C2"/>
    <w:rsid w:val="7C365C2B"/>
    <w:rsid w:val="7C3CCFBF"/>
    <w:rsid w:val="7C5807CC"/>
    <w:rsid w:val="7C6FE10D"/>
    <w:rsid w:val="7C7A2DF9"/>
    <w:rsid w:val="7C9A2116"/>
    <w:rsid w:val="7CA852AF"/>
    <w:rsid w:val="7CBE4A4D"/>
    <w:rsid w:val="7CE64038"/>
    <w:rsid w:val="7CFBABE1"/>
    <w:rsid w:val="7CFF36D2"/>
    <w:rsid w:val="7D2F777E"/>
    <w:rsid w:val="7D3F2869"/>
    <w:rsid w:val="7D59469C"/>
    <w:rsid w:val="7D6075E7"/>
    <w:rsid w:val="7D6CCA8E"/>
    <w:rsid w:val="7D6DD6DC"/>
    <w:rsid w:val="7D771165"/>
    <w:rsid w:val="7D7FFD0D"/>
    <w:rsid w:val="7D8908F9"/>
    <w:rsid w:val="7D9DC679"/>
    <w:rsid w:val="7DA95783"/>
    <w:rsid w:val="7DABD165"/>
    <w:rsid w:val="7DAD500B"/>
    <w:rsid w:val="7DB39556"/>
    <w:rsid w:val="7DB93B8C"/>
    <w:rsid w:val="7DBBCBF5"/>
    <w:rsid w:val="7DBFEC53"/>
    <w:rsid w:val="7DCF61C6"/>
    <w:rsid w:val="7DD55C71"/>
    <w:rsid w:val="7DD991DD"/>
    <w:rsid w:val="7DDF1417"/>
    <w:rsid w:val="7DDFF93A"/>
    <w:rsid w:val="7DE5BBF3"/>
    <w:rsid w:val="7DE78960"/>
    <w:rsid w:val="7DEDD24F"/>
    <w:rsid w:val="7DEF0220"/>
    <w:rsid w:val="7DEF36B3"/>
    <w:rsid w:val="7DEF8696"/>
    <w:rsid w:val="7DF65156"/>
    <w:rsid w:val="7DF8AC6A"/>
    <w:rsid w:val="7DFB0AE9"/>
    <w:rsid w:val="7DFBB84D"/>
    <w:rsid w:val="7DFD6C42"/>
    <w:rsid w:val="7DFEB546"/>
    <w:rsid w:val="7DFF4214"/>
    <w:rsid w:val="7DFF4FBD"/>
    <w:rsid w:val="7DFF9575"/>
    <w:rsid w:val="7E470AF8"/>
    <w:rsid w:val="7E57F6B9"/>
    <w:rsid w:val="7E7CF1F2"/>
    <w:rsid w:val="7E7DDD0F"/>
    <w:rsid w:val="7E7E8552"/>
    <w:rsid w:val="7E7F17CC"/>
    <w:rsid w:val="7E7FB819"/>
    <w:rsid w:val="7E7FDC31"/>
    <w:rsid w:val="7E996276"/>
    <w:rsid w:val="7E9F0C83"/>
    <w:rsid w:val="7E9F6A14"/>
    <w:rsid w:val="7EAA6C36"/>
    <w:rsid w:val="7EAB1728"/>
    <w:rsid w:val="7EB47804"/>
    <w:rsid w:val="7EBFC53E"/>
    <w:rsid w:val="7EBFE781"/>
    <w:rsid w:val="7EEBB9D1"/>
    <w:rsid w:val="7EED7BA4"/>
    <w:rsid w:val="7EEF2D23"/>
    <w:rsid w:val="7EF2A807"/>
    <w:rsid w:val="7EF5E173"/>
    <w:rsid w:val="7EF72DF4"/>
    <w:rsid w:val="7EF72FD8"/>
    <w:rsid w:val="7EFB5A3D"/>
    <w:rsid w:val="7EFD06E6"/>
    <w:rsid w:val="7EFF2C2C"/>
    <w:rsid w:val="7EFF9929"/>
    <w:rsid w:val="7F0C421B"/>
    <w:rsid w:val="7F13565B"/>
    <w:rsid w:val="7F1629A4"/>
    <w:rsid w:val="7F1C287F"/>
    <w:rsid w:val="7F272B5E"/>
    <w:rsid w:val="7F2FFE7D"/>
    <w:rsid w:val="7F3E706A"/>
    <w:rsid w:val="7F3F3D57"/>
    <w:rsid w:val="7F402117"/>
    <w:rsid w:val="7F5CB12E"/>
    <w:rsid w:val="7F5D1B0B"/>
    <w:rsid w:val="7F5F3900"/>
    <w:rsid w:val="7F5FE1C7"/>
    <w:rsid w:val="7F6D340D"/>
    <w:rsid w:val="7F6F9CEC"/>
    <w:rsid w:val="7F7459D7"/>
    <w:rsid w:val="7F770DF9"/>
    <w:rsid w:val="7F777AEF"/>
    <w:rsid w:val="7F79D970"/>
    <w:rsid w:val="7F7B4779"/>
    <w:rsid w:val="7F7BACDF"/>
    <w:rsid w:val="7F7D7468"/>
    <w:rsid w:val="7F7D9FA9"/>
    <w:rsid w:val="7F7F447B"/>
    <w:rsid w:val="7F7F9C9E"/>
    <w:rsid w:val="7F8C3055"/>
    <w:rsid w:val="7F8D0AD4"/>
    <w:rsid w:val="7F8F03DC"/>
    <w:rsid w:val="7F934ABA"/>
    <w:rsid w:val="7F9B3D14"/>
    <w:rsid w:val="7F9C88F3"/>
    <w:rsid w:val="7FA676E6"/>
    <w:rsid w:val="7FB15A44"/>
    <w:rsid w:val="7FB9729D"/>
    <w:rsid w:val="7FBB7F85"/>
    <w:rsid w:val="7FBD1EB6"/>
    <w:rsid w:val="7FBD3EA7"/>
    <w:rsid w:val="7FBD5266"/>
    <w:rsid w:val="7FBD64BF"/>
    <w:rsid w:val="7FBF053F"/>
    <w:rsid w:val="7FC85B26"/>
    <w:rsid w:val="7FD86C38"/>
    <w:rsid w:val="7FDBE955"/>
    <w:rsid w:val="7FDF949B"/>
    <w:rsid w:val="7FE5E8DE"/>
    <w:rsid w:val="7FE79DB1"/>
    <w:rsid w:val="7FEE4542"/>
    <w:rsid w:val="7FEEBCB5"/>
    <w:rsid w:val="7FEF5013"/>
    <w:rsid w:val="7FEF899F"/>
    <w:rsid w:val="7FEFEF86"/>
    <w:rsid w:val="7FFA5DE4"/>
    <w:rsid w:val="7FFAE971"/>
    <w:rsid w:val="7FFB6187"/>
    <w:rsid w:val="7FFB84E2"/>
    <w:rsid w:val="7FFC7A39"/>
    <w:rsid w:val="7FFD5E59"/>
    <w:rsid w:val="7FFE05A0"/>
    <w:rsid w:val="7FFE6DC2"/>
    <w:rsid w:val="7FFE92F4"/>
    <w:rsid w:val="7FFF1371"/>
    <w:rsid w:val="7FFF65CF"/>
    <w:rsid w:val="7FFF709D"/>
    <w:rsid w:val="7FFF9CD5"/>
    <w:rsid w:val="7FFFCEAE"/>
    <w:rsid w:val="85DD5881"/>
    <w:rsid w:val="86D3552F"/>
    <w:rsid w:val="8BDD93D1"/>
    <w:rsid w:val="8DB65A59"/>
    <w:rsid w:val="8F6CFB7C"/>
    <w:rsid w:val="925C0A6D"/>
    <w:rsid w:val="93FC336E"/>
    <w:rsid w:val="97BED3A7"/>
    <w:rsid w:val="97FA81FF"/>
    <w:rsid w:val="9AFD9E19"/>
    <w:rsid w:val="9BBFC5CB"/>
    <w:rsid w:val="9BFFE5BC"/>
    <w:rsid w:val="9CFF813C"/>
    <w:rsid w:val="9DFD6587"/>
    <w:rsid w:val="9E5F2DB8"/>
    <w:rsid w:val="9E766694"/>
    <w:rsid w:val="9E7B56BD"/>
    <w:rsid w:val="9E7ED74B"/>
    <w:rsid w:val="9F1EE70B"/>
    <w:rsid w:val="9F55EB28"/>
    <w:rsid w:val="9F5CB341"/>
    <w:rsid w:val="9F672A5A"/>
    <w:rsid w:val="9F6B1BB7"/>
    <w:rsid w:val="9F7B2CDA"/>
    <w:rsid w:val="9FAF9A56"/>
    <w:rsid w:val="9FFE01CE"/>
    <w:rsid w:val="9FFFC48F"/>
    <w:rsid w:val="A2E7259A"/>
    <w:rsid w:val="A3DDB586"/>
    <w:rsid w:val="A3E5B80E"/>
    <w:rsid w:val="A67ACDE1"/>
    <w:rsid w:val="A73F7B3C"/>
    <w:rsid w:val="AAC7FC76"/>
    <w:rsid w:val="ACC36656"/>
    <w:rsid w:val="ACDD640D"/>
    <w:rsid w:val="ACEDBC04"/>
    <w:rsid w:val="AD7F69FA"/>
    <w:rsid w:val="AD97216D"/>
    <w:rsid w:val="ADFFE497"/>
    <w:rsid w:val="AEEFD679"/>
    <w:rsid w:val="AEF7B971"/>
    <w:rsid w:val="AF514A05"/>
    <w:rsid w:val="AF7F92FB"/>
    <w:rsid w:val="AF99A324"/>
    <w:rsid w:val="AFBFFF5A"/>
    <w:rsid w:val="AFFE8F57"/>
    <w:rsid w:val="B15F26F1"/>
    <w:rsid w:val="B3E9C594"/>
    <w:rsid w:val="B47EFD21"/>
    <w:rsid w:val="B5773F58"/>
    <w:rsid w:val="B5E46B39"/>
    <w:rsid w:val="B5FF12BB"/>
    <w:rsid w:val="B6F57939"/>
    <w:rsid w:val="B77D6496"/>
    <w:rsid w:val="B77D7E67"/>
    <w:rsid w:val="B77F07AB"/>
    <w:rsid w:val="B77F6E59"/>
    <w:rsid w:val="B7BD3601"/>
    <w:rsid w:val="B7CB91A4"/>
    <w:rsid w:val="B7D36FA8"/>
    <w:rsid w:val="B7E1105A"/>
    <w:rsid w:val="B7FD1AE0"/>
    <w:rsid w:val="B8B326E9"/>
    <w:rsid w:val="B8F93382"/>
    <w:rsid w:val="B9C7C6B5"/>
    <w:rsid w:val="B9FF3CE4"/>
    <w:rsid w:val="BA77530D"/>
    <w:rsid w:val="BAB511EF"/>
    <w:rsid w:val="BAB726DA"/>
    <w:rsid w:val="BB2DBD3C"/>
    <w:rsid w:val="BB4F899D"/>
    <w:rsid w:val="BB7DCDF1"/>
    <w:rsid w:val="BB8F9026"/>
    <w:rsid w:val="BBB87D5D"/>
    <w:rsid w:val="BBE701E2"/>
    <w:rsid w:val="BBEB4B1E"/>
    <w:rsid w:val="BBEF213A"/>
    <w:rsid w:val="BBFF51C6"/>
    <w:rsid w:val="BC676F5A"/>
    <w:rsid w:val="BCDB7B19"/>
    <w:rsid w:val="BCE793E5"/>
    <w:rsid w:val="BD3FB31A"/>
    <w:rsid w:val="BD779E38"/>
    <w:rsid w:val="BDE480B0"/>
    <w:rsid w:val="BDEEFF8A"/>
    <w:rsid w:val="BDEFACE4"/>
    <w:rsid w:val="BDF396CA"/>
    <w:rsid w:val="BDFDDD4F"/>
    <w:rsid w:val="BDFF5717"/>
    <w:rsid w:val="BE54F2DD"/>
    <w:rsid w:val="BE6D51DD"/>
    <w:rsid w:val="BE7FB404"/>
    <w:rsid w:val="BEBC8FAD"/>
    <w:rsid w:val="BEBF06C5"/>
    <w:rsid w:val="BEDFFD83"/>
    <w:rsid w:val="BEFAC2DB"/>
    <w:rsid w:val="BF2F4A5F"/>
    <w:rsid w:val="BF33C23A"/>
    <w:rsid w:val="BF4B7BB1"/>
    <w:rsid w:val="BF5A3EDB"/>
    <w:rsid w:val="BF6DC246"/>
    <w:rsid w:val="BF7D0D95"/>
    <w:rsid w:val="BFA5D3F9"/>
    <w:rsid w:val="BFAB87A6"/>
    <w:rsid w:val="BFABCC6F"/>
    <w:rsid w:val="BFBD5197"/>
    <w:rsid w:val="BFBD8F5F"/>
    <w:rsid w:val="BFD7124A"/>
    <w:rsid w:val="BFDD1D7B"/>
    <w:rsid w:val="BFDD38DF"/>
    <w:rsid w:val="BFDD8FFF"/>
    <w:rsid w:val="BFDF0AC3"/>
    <w:rsid w:val="BFED8347"/>
    <w:rsid w:val="BFEDAE6E"/>
    <w:rsid w:val="BFF3C889"/>
    <w:rsid w:val="BFF3FCA0"/>
    <w:rsid w:val="BFF5FD1E"/>
    <w:rsid w:val="BFF9B4EA"/>
    <w:rsid w:val="BFFA1615"/>
    <w:rsid w:val="BFFB6114"/>
    <w:rsid w:val="BFFF7B21"/>
    <w:rsid w:val="BFFFCB6E"/>
    <w:rsid w:val="C65F01AC"/>
    <w:rsid w:val="C6B718E6"/>
    <w:rsid w:val="C776AAD2"/>
    <w:rsid w:val="C79FFF40"/>
    <w:rsid w:val="C7E7464A"/>
    <w:rsid w:val="C7ED85AB"/>
    <w:rsid w:val="C7F2FEBA"/>
    <w:rsid w:val="CBBDBDBD"/>
    <w:rsid w:val="CBF7C2A3"/>
    <w:rsid w:val="CCFFEC40"/>
    <w:rsid w:val="CD3BB7E7"/>
    <w:rsid w:val="CD762457"/>
    <w:rsid w:val="CE7FEC49"/>
    <w:rsid w:val="CEEF03CE"/>
    <w:rsid w:val="CEFB9BD9"/>
    <w:rsid w:val="CF32C9D1"/>
    <w:rsid w:val="CFBBC6D1"/>
    <w:rsid w:val="CFFBFD11"/>
    <w:rsid w:val="CFFF1168"/>
    <w:rsid w:val="CFFFC9DD"/>
    <w:rsid w:val="D1D7956E"/>
    <w:rsid w:val="D2BDFDEF"/>
    <w:rsid w:val="D3ABDAB0"/>
    <w:rsid w:val="D3BE6167"/>
    <w:rsid w:val="D3CDC90A"/>
    <w:rsid w:val="D3F399F9"/>
    <w:rsid w:val="D5334A3F"/>
    <w:rsid w:val="D5ADD255"/>
    <w:rsid w:val="D5AFAD7F"/>
    <w:rsid w:val="D69ECD4A"/>
    <w:rsid w:val="D6FFE2D8"/>
    <w:rsid w:val="D75B311E"/>
    <w:rsid w:val="D77B9491"/>
    <w:rsid w:val="D787BE88"/>
    <w:rsid w:val="D7B7B6CF"/>
    <w:rsid w:val="D7DB4F3E"/>
    <w:rsid w:val="D7FDC320"/>
    <w:rsid w:val="D7FF200B"/>
    <w:rsid w:val="D8C7C1ED"/>
    <w:rsid w:val="D8DFDAC0"/>
    <w:rsid w:val="D9F5FBB2"/>
    <w:rsid w:val="DA5E621D"/>
    <w:rsid w:val="DAF7322E"/>
    <w:rsid w:val="DAFF7C4C"/>
    <w:rsid w:val="DB73B31B"/>
    <w:rsid w:val="DB7F606A"/>
    <w:rsid w:val="DBB722C7"/>
    <w:rsid w:val="DBFF05A2"/>
    <w:rsid w:val="DCDFE90F"/>
    <w:rsid w:val="DCE4604E"/>
    <w:rsid w:val="DCF65432"/>
    <w:rsid w:val="DCFE3A9F"/>
    <w:rsid w:val="DD5DC3AE"/>
    <w:rsid w:val="DDBF9244"/>
    <w:rsid w:val="DDBFEA55"/>
    <w:rsid w:val="DDDFA60C"/>
    <w:rsid w:val="DDF566B0"/>
    <w:rsid w:val="DDF6F6FA"/>
    <w:rsid w:val="DDFC8A8A"/>
    <w:rsid w:val="DE8E43AB"/>
    <w:rsid w:val="DEBD1B81"/>
    <w:rsid w:val="DEBF4786"/>
    <w:rsid w:val="DEBF59F0"/>
    <w:rsid w:val="DEFA8EF2"/>
    <w:rsid w:val="DEFB0903"/>
    <w:rsid w:val="DEFF3E4A"/>
    <w:rsid w:val="DF5E5CAD"/>
    <w:rsid w:val="DF6E8875"/>
    <w:rsid w:val="DF7350C8"/>
    <w:rsid w:val="DF9B2FDB"/>
    <w:rsid w:val="DFAAF6F3"/>
    <w:rsid w:val="DFAF0A47"/>
    <w:rsid w:val="DFB36E8C"/>
    <w:rsid w:val="DFCFFFA0"/>
    <w:rsid w:val="DFD7B576"/>
    <w:rsid w:val="DFD7F8CD"/>
    <w:rsid w:val="DFDF86E2"/>
    <w:rsid w:val="DFE11F8D"/>
    <w:rsid w:val="DFEED0A3"/>
    <w:rsid w:val="DFF32F4E"/>
    <w:rsid w:val="DFFC4362"/>
    <w:rsid w:val="DFFF4EA3"/>
    <w:rsid w:val="DFFFA889"/>
    <w:rsid w:val="E1BF7A10"/>
    <w:rsid w:val="E36E7F5C"/>
    <w:rsid w:val="E3C73C39"/>
    <w:rsid w:val="E3F753A2"/>
    <w:rsid w:val="E56AC93C"/>
    <w:rsid w:val="E5F19684"/>
    <w:rsid w:val="E6FF6C57"/>
    <w:rsid w:val="E74B075E"/>
    <w:rsid w:val="E76D3514"/>
    <w:rsid w:val="E7E56D6B"/>
    <w:rsid w:val="E9FB353B"/>
    <w:rsid w:val="EA3BE6E0"/>
    <w:rsid w:val="EB786ED3"/>
    <w:rsid w:val="EBFAFC81"/>
    <w:rsid w:val="EC96D586"/>
    <w:rsid w:val="ECAE1E4D"/>
    <w:rsid w:val="EDBF327D"/>
    <w:rsid w:val="EDDD5AE6"/>
    <w:rsid w:val="EDF131FD"/>
    <w:rsid w:val="EDFAFFD7"/>
    <w:rsid w:val="EDFFE984"/>
    <w:rsid w:val="EE37B022"/>
    <w:rsid w:val="EEAFFB1F"/>
    <w:rsid w:val="EED60C33"/>
    <w:rsid w:val="EED7841C"/>
    <w:rsid w:val="EEEBE97E"/>
    <w:rsid w:val="EEEF3DDA"/>
    <w:rsid w:val="EEF33A61"/>
    <w:rsid w:val="EEFF22B2"/>
    <w:rsid w:val="EEFF4D37"/>
    <w:rsid w:val="EF2F4E69"/>
    <w:rsid w:val="EF6648A2"/>
    <w:rsid w:val="EF733005"/>
    <w:rsid w:val="EF7354B7"/>
    <w:rsid w:val="EF778569"/>
    <w:rsid w:val="EF77B0DA"/>
    <w:rsid w:val="EFAF873D"/>
    <w:rsid w:val="EFB67CCA"/>
    <w:rsid w:val="EFBE9570"/>
    <w:rsid w:val="EFC57340"/>
    <w:rsid w:val="EFCF0021"/>
    <w:rsid w:val="EFD5D362"/>
    <w:rsid w:val="EFDB5C83"/>
    <w:rsid w:val="EFE7CA46"/>
    <w:rsid w:val="EFEE5A26"/>
    <w:rsid w:val="EFEF0472"/>
    <w:rsid w:val="EFEF9639"/>
    <w:rsid w:val="EFF786B7"/>
    <w:rsid w:val="EFFB10FD"/>
    <w:rsid w:val="EFFB4DE7"/>
    <w:rsid w:val="EFFF38F7"/>
    <w:rsid w:val="EFFFB267"/>
    <w:rsid w:val="EFFFEBD8"/>
    <w:rsid w:val="EFFFECBB"/>
    <w:rsid w:val="F23D4332"/>
    <w:rsid w:val="F26A32D2"/>
    <w:rsid w:val="F2EF8D78"/>
    <w:rsid w:val="F373572A"/>
    <w:rsid w:val="F37E453A"/>
    <w:rsid w:val="F3B7D090"/>
    <w:rsid w:val="F3EB02E8"/>
    <w:rsid w:val="F3EF0822"/>
    <w:rsid w:val="F3FDCA98"/>
    <w:rsid w:val="F44693C7"/>
    <w:rsid w:val="F4EF5092"/>
    <w:rsid w:val="F4F96333"/>
    <w:rsid w:val="F516B5F7"/>
    <w:rsid w:val="F55FB408"/>
    <w:rsid w:val="F57F2A4B"/>
    <w:rsid w:val="F5BB6B94"/>
    <w:rsid w:val="F5BD3A6D"/>
    <w:rsid w:val="F5FBD4DB"/>
    <w:rsid w:val="F63DEA46"/>
    <w:rsid w:val="F6F3BA67"/>
    <w:rsid w:val="F6F7B1FA"/>
    <w:rsid w:val="F6FB03ED"/>
    <w:rsid w:val="F6FB8BCF"/>
    <w:rsid w:val="F6FD23E2"/>
    <w:rsid w:val="F74FE5A1"/>
    <w:rsid w:val="F7573EC7"/>
    <w:rsid w:val="F767CB56"/>
    <w:rsid w:val="F76940FA"/>
    <w:rsid w:val="F7763F7A"/>
    <w:rsid w:val="F797C129"/>
    <w:rsid w:val="F7BE5DBA"/>
    <w:rsid w:val="F7CB1692"/>
    <w:rsid w:val="F7D01C85"/>
    <w:rsid w:val="F7D713DA"/>
    <w:rsid w:val="F7D775EC"/>
    <w:rsid w:val="F7DFCD90"/>
    <w:rsid w:val="F7ED5CE4"/>
    <w:rsid w:val="F7EF7FE6"/>
    <w:rsid w:val="F7F7FC6F"/>
    <w:rsid w:val="F7FD05AA"/>
    <w:rsid w:val="F7FDED42"/>
    <w:rsid w:val="F7FEBF76"/>
    <w:rsid w:val="F7FF3B38"/>
    <w:rsid w:val="F89B10DC"/>
    <w:rsid w:val="F8D6625F"/>
    <w:rsid w:val="F94F4251"/>
    <w:rsid w:val="F97E7AB4"/>
    <w:rsid w:val="F97F6E17"/>
    <w:rsid w:val="F9ED6AD9"/>
    <w:rsid w:val="F9FF9C18"/>
    <w:rsid w:val="F9FFDF9C"/>
    <w:rsid w:val="FA3F5F9E"/>
    <w:rsid w:val="FA3FE302"/>
    <w:rsid w:val="FA3FFF0D"/>
    <w:rsid w:val="FA7F693C"/>
    <w:rsid w:val="FA9F672D"/>
    <w:rsid w:val="FAA39802"/>
    <w:rsid w:val="FADF3DDE"/>
    <w:rsid w:val="FAEF99B7"/>
    <w:rsid w:val="FAFBB4F3"/>
    <w:rsid w:val="FAFFCD10"/>
    <w:rsid w:val="FB329568"/>
    <w:rsid w:val="FB4F04D7"/>
    <w:rsid w:val="FB5F2FD3"/>
    <w:rsid w:val="FB7EA662"/>
    <w:rsid w:val="FBBD2A44"/>
    <w:rsid w:val="FBC7A5D7"/>
    <w:rsid w:val="FBDBCAFD"/>
    <w:rsid w:val="FBDC0979"/>
    <w:rsid w:val="FBDFE3CA"/>
    <w:rsid w:val="FBE61BDE"/>
    <w:rsid w:val="FBEF24F3"/>
    <w:rsid w:val="FBEFAD41"/>
    <w:rsid w:val="FBEFCA1A"/>
    <w:rsid w:val="FBFC3F5F"/>
    <w:rsid w:val="FBFC7132"/>
    <w:rsid w:val="FBFD1B14"/>
    <w:rsid w:val="FBFEAD49"/>
    <w:rsid w:val="FBFF61AD"/>
    <w:rsid w:val="FBFF79E0"/>
    <w:rsid w:val="FBFFCA98"/>
    <w:rsid w:val="FC78E52F"/>
    <w:rsid w:val="FC7D0084"/>
    <w:rsid w:val="FC7FDB19"/>
    <w:rsid w:val="FCBF5396"/>
    <w:rsid w:val="FCF51796"/>
    <w:rsid w:val="FCFE126D"/>
    <w:rsid w:val="FCFF1B4F"/>
    <w:rsid w:val="FCFF5F45"/>
    <w:rsid w:val="FD3BB76E"/>
    <w:rsid w:val="FD5E22C2"/>
    <w:rsid w:val="FD6E68BE"/>
    <w:rsid w:val="FD7A8411"/>
    <w:rsid w:val="FD7B5811"/>
    <w:rsid w:val="FD7DDCE4"/>
    <w:rsid w:val="FD7F4B6B"/>
    <w:rsid w:val="FDB5471A"/>
    <w:rsid w:val="FDB91431"/>
    <w:rsid w:val="FDBFA174"/>
    <w:rsid w:val="FDCDF1B9"/>
    <w:rsid w:val="FDDADD15"/>
    <w:rsid w:val="FDE9D5B3"/>
    <w:rsid w:val="FDEF3A59"/>
    <w:rsid w:val="FDF7B0FC"/>
    <w:rsid w:val="FDFB027B"/>
    <w:rsid w:val="FDFBB1CF"/>
    <w:rsid w:val="FDFF1AE6"/>
    <w:rsid w:val="FE748EF9"/>
    <w:rsid w:val="FE7BB176"/>
    <w:rsid w:val="FEAEDBE9"/>
    <w:rsid w:val="FEBC6153"/>
    <w:rsid w:val="FEBFB8FC"/>
    <w:rsid w:val="FEDF1856"/>
    <w:rsid w:val="FEF98B70"/>
    <w:rsid w:val="FEFB1DF0"/>
    <w:rsid w:val="FEFCCD12"/>
    <w:rsid w:val="FEFFF7E5"/>
    <w:rsid w:val="FF0F9471"/>
    <w:rsid w:val="FF1A7D9C"/>
    <w:rsid w:val="FF1C81A6"/>
    <w:rsid w:val="FF1D16A2"/>
    <w:rsid w:val="FF2F338D"/>
    <w:rsid w:val="FF3F4108"/>
    <w:rsid w:val="FF468A7F"/>
    <w:rsid w:val="FF56871E"/>
    <w:rsid w:val="FF5B24BC"/>
    <w:rsid w:val="FF6EA354"/>
    <w:rsid w:val="FF6F8D2E"/>
    <w:rsid w:val="FF7B4457"/>
    <w:rsid w:val="FF7ECB67"/>
    <w:rsid w:val="FF7F2580"/>
    <w:rsid w:val="FF8B4111"/>
    <w:rsid w:val="FF8E7D34"/>
    <w:rsid w:val="FF9F15D6"/>
    <w:rsid w:val="FFAE2900"/>
    <w:rsid w:val="FFAF2548"/>
    <w:rsid w:val="FFAF9C36"/>
    <w:rsid w:val="FFBC18AC"/>
    <w:rsid w:val="FFBD55B0"/>
    <w:rsid w:val="FFBDC667"/>
    <w:rsid w:val="FFBEC9FF"/>
    <w:rsid w:val="FFBF172D"/>
    <w:rsid w:val="FFBF29A0"/>
    <w:rsid w:val="FFBF446E"/>
    <w:rsid w:val="FFBFC7A6"/>
    <w:rsid w:val="FFBFE2BD"/>
    <w:rsid w:val="FFD64B31"/>
    <w:rsid w:val="FFD6BEE2"/>
    <w:rsid w:val="FFD7E728"/>
    <w:rsid w:val="FFE60E60"/>
    <w:rsid w:val="FFE9E36A"/>
    <w:rsid w:val="FFEF8467"/>
    <w:rsid w:val="FFEFFF6F"/>
    <w:rsid w:val="FFF21124"/>
    <w:rsid w:val="FFF4F753"/>
    <w:rsid w:val="FFF68DAB"/>
    <w:rsid w:val="FFF6BB53"/>
    <w:rsid w:val="FFF7D3F9"/>
    <w:rsid w:val="FFF7F3EE"/>
    <w:rsid w:val="FFFA02E0"/>
    <w:rsid w:val="FFFA170B"/>
    <w:rsid w:val="FFFB4D5B"/>
    <w:rsid w:val="FFFB87FF"/>
    <w:rsid w:val="FFFBE420"/>
    <w:rsid w:val="FFFC8F4A"/>
    <w:rsid w:val="FFFD17A6"/>
    <w:rsid w:val="FFFE180C"/>
    <w:rsid w:val="FFFE3594"/>
    <w:rsid w:val="FFFF56F8"/>
    <w:rsid w:val="FFFF784B"/>
    <w:rsid w:val="FFFFAEE3"/>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2"/>
      </w:numPr>
      <w:outlineLvl w:val="2"/>
    </w:pPr>
    <w:rPr>
      <w:rFonts w:eastAsia="宋体"/>
      <w:sz w:val="28"/>
    </w:rPr>
  </w:style>
  <w:style w:type="paragraph" w:styleId="5">
    <w:name w:val="heading 4"/>
    <w:basedOn w:val="6"/>
    <w:next w:val="1"/>
    <w:link w:val="30"/>
    <w:qFormat/>
    <w:uiPriority w:val="0"/>
    <w:pPr>
      <w:numPr>
        <w:ilvl w:val="3"/>
        <w:numId w:val="2"/>
      </w:numPr>
      <w:outlineLvl w:val="3"/>
    </w:pPr>
    <w:rPr>
      <w:rFonts w:eastAsia="宋体"/>
      <w:sz w:val="24"/>
    </w:rPr>
  </w:style>
  <w:style w:type="paragraph" w:styleId="6">
    <w:name w:val="heading 5"/>
    <w:basedOn w:val="1"/>
    <w:next w:val="1"/>
    <w:link w:val="32"/>
    <w:qFormat/>
    <w:uiPriority w:val="0"/>
    <w:pPr>
      <w:numPr>
        <w:ilvl w:val="4"/>
        <w:numId w:val="2"/>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7134</Words>
  <Characters>7953</Characters>
  <Lines>1</Lines>
  <Paragraphs>1</Paragraphs>
  <TotalTime>1</TotalTime>
  <ScaleCrop>false</ScaleCrop>
  <LinksUpToDate>false</LinksUpToDate>
  <CharactersWithSpaces>8247</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2024-07-31T13:15:00Z</dcterms:created>
  <dc:creator>柏三创@物资云·贵宾客服</dc:creator>
  <cp:lastModifiedBy>蔡菜</cp:lastModifiedBy>
  <dcterms:modified xsi:type="dcterms:W3CDTF">2025-07-14T16:15:01Z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9D2AAD5F234FEC1C06155568FC51A647_43</vt:lpwstr>
  </property>
</Properties>
</file>